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4D" w:rsidRDefault="0035194D">
      <w:pPr>
        <w:rPr>
          <w:b/>
          <w:sz w:val="28"/>
          <w:szCs w:val="28"/>
        </w:rPr>
      </w:pPr>
    </w:p>
    <w:p w:rsidR="0035194D" w:rsidRPr="00E20A81" w:rsidRDefault="0035194D">
      <w:pPr>
        <w:rPr>
          <w:b/>
          <w:sz w:val="28"/>
          <w:szCs w:val="28"/>
        </w:rPr>
      </w:pPr>
      <w:r w:rsidRPr="00E20A81">
        <w:rPr>
          <w:b/>
          <w:sz w:val="28"/>
          <w:szCs w:val="28"/>
        </w:rPr>
        <w:t>SUDEP prevention action – EPEN Guidelines for professionals</w:t>
      </w:r>
    </w:p>
    <w:p w:rsidR="0035194D" w:rsidRDefault="0035194D"/>
    <w:p w:rsidR="0035194D" w:rsidRDefault="0035194D">
      <w:r>
        <w:t>Sudden unexpected death in epilepsy (SUDEP) is a very small but recognisable risk in children with epilepsy. Health care professionals dealing with families of children with epilepsy have professional responsibility to inform about this risk at some appropriate time during diagnosis and treatment. This document helps professionals guiding appropriateness of initiation and content of these discussions with families.</w:t>
      </w:r>
    </w:p>
    <w:p w:rsidR="0035194D" w:rsidRDefault="0035194D"/>
    <w:p w:rsidR="0035194D" w:rsidRPr="00E20A81" w:rsidRDefault="0035194D">
      <w:pPr>
        <w:rPr>
          <w:b/>
        </w:rPr>
      </w:pPr>
      <w:r w:rsidRPr="00E20A81">
        <w:rPr>
          <w:b/>
        </w:rPr>
        <w:t>What is SUDEP?</w:t>
      </w:r>
    </w:p>
    <w:p w:rsidR="0035194D" w:rsidRPr="00B04DD1" w:rsidRDefault="0035194D" w:rsidP="002F37AF">
      <w:pPr>
        <w:pStyle w:val="p1"/>
        <w:rPr>
          <w:rFonts w:ascii="Calibri" w:hAnsi="Calibri" w:cs="Calibri"/>
          <w:sz w:val="24"/>
          <w:szCs w:val="24"/>
        </w:rPr>
      </w:pPr>
      <w:r w:rsidRPr="00B04DD1">
        <w:rPr>
          <w:rFonts w:ascii="Calibri" w:hAnsi="Calibri" w:cs="Calibri"/>
          <w:sz w:val="24"/>
          <w:szCs w:val="24"/>
        </w:rPr>
        <w:t>“The sudden, unexpected, witnessed or unwitnessed, non-traumatic and non-drowning death in patients with epilepsy, with or without evidence for a seizure and excluding convulsive status epilepticus in which post-mortem examination does not reveal a toxicological or anatomical cause for death.”¹</w:t>
      </w:r>
    </w:p>
    <w:p w:rsidR="0035194D" w:rsidRDefault="0035194D"/>
    <w:p w:rsidR="0035194D" w:rsidRDefault="0035194D">
      <w:pPr>
        <w:rPr>
          <w:b/>
        </w:rPr>
      </w:pPr>
      <w:r w:rsidRPr="00E20A81">
        <w:rPr>
          <w:b/>
        </w:rPr>
        <w:t>How common is SUDEP in Children?</w:t>
      </w:r>
    </w:p>
    <w:p w:rsidR="0035194D" w:rsidRDefault="0035194D" w:rsidP="0083522C">
      <w:r>
        <w:t xml:space="preserve">Occurrence of SUDEP is rare in children under 17 years compared to adults. Recent evidence² suggests that incidence of SUDEP is 0.22 per 1000 patient years in children. This means that in 1 year, SUDEP typically affects 1 in 4,500 children with epilepsy; therefore, 4,499 of 4,500 children will not be affected. </w:t>
      </w:r>
      <w:r w:rsidRPr="0087159A">
        <w:t>The risk of unexpected, unexplained death in children with idiopathic epilepsy is extremely small.</w:t>
      </w:r>
      <w:r>
        <w:t>³ On the other hand, every year 500 individuals with epilepsy (including adults) lose their life in UK due to SUDEP.⁴ 42% of these deaths are in people with inadequately addressed factors that are known to be associated with increased incidence of SUDEP.</w:t>
      </w:r>
    </w:p>
    <w:p w:rsidR="0035194D" w:rsidRDefault="0035194D"/>
    <w:p w:rsidR="0035194D" w:rsidRPr="00E20A81" w:rsidRDefault="0035194D">
      <w:pPr>
        <w:rPr>
          <w:b/>
        </w:rPr>
      </w:pPr>
      <w:r>
        <w:rPr>
          <w:b/>
        </w:rPr>
        <w:t>Pathophysiological mechanisms of SUDEP</w:t>
      </w:r>
    </w:p>
    <w:p w:rsidR="0035194D" w:rsidRDefault="0035194D">
      <w:r>
        <w:t xml:space="preserve">The pathophysiology of SUDEP is not clearly understood. There is ongoing research into SUDEP. It is believed to occur during or following a seizure. The underlying mechanism may be cardiac arrhythmia or apnoea. </w:t>
      </w:r>
    </w:p>
    <w:p w:rsidR="0035194D" w:rsidRDefault="0035194D"/>
    <w:p w:rsidR="0035194D" w:rsidRPr="007B489F" w:rsidRDefault="0035194D">
      <w:pPr>
        <w:rPr>
          <w:b/>
        </w:rPr>
      </w:pPr>
      <w:r w:rsidRPr="007B489F">
        <w:rPr>
          <w:b/>
        </w:rPr>
        <w:t>What are the risk factors?</w:t>
      </w:r>
    </w:p>
    <w:p w:rsidR="0035194D" w:rsidRDefault="0035194D">
      <w:r>
        <w:t xml:space="preserve">Risk of SUDEP is higher in the following situations. </w:t>
      </w:r>
    </w:p>
    <w:p w:rsidR="0035194D" w:rsidRDefault="0035194D"/>
    <w:p w:rsidR="0035194D" w:rsidRPr="00B04DD1" w:rsidRDefault="0035194D" w:rsidP="008614B1">
      <w:pPr>
        <w:autoSpaceDE w:val="0"/>
        <w:autoSpaceDN w:val="0"/>
        <w:adjustRightInd w:val="0"/>
        <w:ind w:firstLine="720"/>
        <w:rPr>
          <w:rFonts w:cs="Calibri"/>
        </w:rPr>
      </w:pPr>
      <w:r w:rsidRPr="00B04DD1">
        <w:rPr>
          <w:rFonts w:cs="Calibri"/>
        </w:rPr>
        <w:t>MODERATE TO HIGH</w:t>
      </w:r>
    </w:p>
    <w:p w:rsidR="0035194D" w:rsidRPr="00B04DD1" w:rsidRDefault="0035194D" w:rsidP="00E25697">
      <w:pPr>
        <w:autoSpaceDE w:val="0"/>
        <w:autoSpaceDN w:val="0"/>
        <w:adjustRightInd w:val="0"/>
        <w:ind w:left="720" w:firstLine="720"/>
        <w:rPr>
          <w:rFonts w:cs="Calibri"/>
        </w:rPr>
      </w:pPr>
      <w:r w:rsidRPr="00B04DD1">
        <w:rPr>
          <w:rFonts w:cs="Calibri"/>
        </w:rPr>
        <w:t>Generalised tonic clonic seizures (presence and frequency)</w:t>
      </w:r>
    </w:p>
    <w:p w:rsidR="0035194D" w:rsidRPr="00B04DD1" w:rsidRDefault="0035194D" w:rsidP="008614B1">
      <w:pPr>
        <w:autoSpaceDE w:val="0"/>
        <w:autoSpaceDN w:val="0"/>
        <w:adjustRightInd w:val="0"/>
        <w:rPr>
          <w:rFonts w:cs="Calibri"/>
        </w:rPr>
      </w:pPr>
      <w:r w:rsidRPr="00B04DD1">
        <w:rPr>
          <w:rFonts w:cs="Calibri"/>
        </w:rPr>
        <w:tab/>
      </w:r>
      <w:r w:rsidRPr="00B04DD1">
        <w:rPr>
          <w:rFonts w:cs="Calibri"/>
        </w:rPr>
        <w:tab/>
        <w:t>Nocturnal/sleep seizures especially with no supervision</w:t>
      </w:r>
    </w:p>
    <w:p w:rsidR="0035194D" w:rsidRPr="00B04DD1" w:rsidRDefault="0035194D" w:rsidP="006F4D8F">
      <w:pPr>
        <w:autoSpaceDE w:val="0"/>
        <w:autoSpaceDN w:val="0"/>
        <w:adjustRightInd w:val="0"/>
        <w:rPr>
          <w:rFonts w:cs="Calibri"/>
        </w:rPr>
      </w:pPr>
      <w:r w:rsidRPr="00B04DD1">
        <w:rPr>
          <w:rFonts w:cs="Calibri"/>
        </w:rPr>
        <w:tab/>
      </w:r>
      <w:r w:rsidRPr="00B04DD1">
        <w:rPr>
          <w:rFonts w:cs="Calibri"/>
        </w:rPr>
        <w:tab/>
        <w:t>Lack of seizure freedom (1-5 years)</w:t>
      </w:r>
    </w:p>
    <w:p w:rsidR="0035194D" w:rsidRPr="00B04DD1" w:rsidRDefault="0035194D" w:rsidP="006F4D8F">
      <w:pPr>
        <w:autoSpaceDE w:val="0"/>
        <w:autoSpaceDN w:val="0"/>
        <w:adjustRightInd w:val="0"/>
        <w:rPr>
          <w:rFonts w:cs="Calibri"/>
        </w:rPr>
      </w:pPr>
      <w:r w:rsidRPr="00B04DD1">
        <w:rPr>
          <w:rFonts w:cs="Calibri"/>
        </w:rPr>
        <w:tab/>
      </w:r>
      <w:r w:rsidRPr="00B04DD1">
        <w:rPr>
          <w:rFonts w:cs="Calibri"/>
        </w:rPr>
        <w:tab/>
        <w:t>Medically refractory epilepsy (when not being treated)</w:t>
      </w:r>
    </w:p>
    <w:p w:rsidR="0035194D" w:rsidRPr="00B04DD1" w:rsidRDefault="0035194D" w:rsidP="008614B1">
      <w:pPr>
        <w:autoSpaceDE w:val="0"/>
        <w:autoSpaceDN w:val="0"/>
        <w:adjustRightInd w:val="0"/>
        <w:rPr>
          <w:rFonts w:cs="Calibri"/>
        </w:rPr>
      </w:pPr>
      <w:r w:rsidRPr="00B04DD1">
        <w:rPr>
          <w:rFonts w:cs="Calibri"/>
        </w:rPr>
        <w:t xml:space="preserve"> </w:t>
      </w:r>
      <w:r w:rsidRPr="00B04DD1">
        <w:rPr>
          <w:rFonts w:cs="Calibri"/>
        </w:rPr>
        <w:tab/>
      </w:r>
      <w:r w:rsidRPr="00B04DD1">
        <w:rPr>
          <w:rFonts w:cs="Calibri"/>
        </w:rPr>
        <w:tab/>
        <w:t>Individuals with poor concordance</w:t>
      </w:r>
    </w:p>
    <w:p w:rsidR="0035194D" w:rsidRPr="00B04DD1" w:rsidRDefault="0035194D" w:rsidP="008614B1">
      <w:pPr>
        <w:autoSpaceDE w:val="0"/>
        <w:autoSpaceDN w:val="0"/>
        <w:adjustRightInd w:val="0"/>
        <w:rPr>
          <w:rFonts w:cs="Calibri"/>
        </w:rPr>
      </w:pPr>
      <w:r w:rsidRPr="00B04DD1">
        <w:rPr>
          <w:rFonts w:cs="Calibri"/>
        </w:rPr>
        <w:tab/>
      </w:r>
      <w:r w:rsidRPr="00B04DD1">
        <w:rPr>
          <w:rFonts w:cs="Calibri"/>
        </w:rPr>
        <w:tab/>
        <w:t>Never treated with antiepileptic drugs</w:t>
      </w:r>
    </w:p>
    <w:p w:rsidR="0035194D" w:rsidRPr="00B04DD1" w:rsidRDefault="0035194D" w:rsidP="008614B1">
      <w:pPr>
        <w:autoSpaceDE w:val="0"/>
        <w:autoSpaceDN w:val="0"/>
        <w:adjustRightInd w:val="0"/>
        <w:rPr>
          <w:rFonts w:cs="Calibri"/>
        </w:rPr>
      </w:pPr>
      <w:r w:rsidRPr="00B04DD1">
        <w:rPr>
          <w:rFonts w:cs="Calibri"/>
        </w:rPr>
        <w:tab/>
      </w:r>
      <w:r w:rsidRPr="00B04DD1">
        <w:rPr>
          <w:rFonts w:cs="Calibri"/>
        </w:rPr>
        <w:tab/>
        <w:t>Many drugs used (not polytherapy)</w:t>
      </w:r>
    </w:p>
    <w:p w:rsidR="0035194D" w:rsidRPr="00B04DD1" w:rsidRDefault="0035194D" w:rsidP="008614B1">
      <w:pPr>
        <w:autoSpaceDE w:val="0"/>
        <w:autoSpaceDN w:val="0"/>
        <w:adjustRightInd w:val="0"/>
        <w:rPr>
          <w:rFonts w:cs="Calibri"/>
        </w:rPr>
      </w:pPr>
      <w:r w:rsidRPr="00B04DD1">
        <w:rPr>
          <w:rFonts w:cs="Calibri"/>
        </w:rPr>
        <w:tab/>
      </w:r>
      <w:r w:rsidRPr="00B04DD1">
        <w:rPr>
          <w:rFonts w:cs="Calibri"/>
        </w:rPr>
        <w:tab/>
        <w:t>Young adults who live alone especially males</w:t>
      </w:r>
    </w:p>
    <w:p w:rsidR="0035194D" w:rsidRPr="00B04DD1" w:rsidRDefault="0035194D" w:rsidP="008614B1">
      <w:pPr>
        <w:autoSpaceDE w:val="0"/>
        <w:autoSpaceDN w:val="0"/>
        <w:adjustRightInd w:val="0"/>
        <w:rPr>
          <w:rFonts w:cs="Calibri"/>
        </w:rPr>
      </w:pPr>
      <w:r w:rsidRPr="00B04DD1">
        <w:rPr>
          <w:rFonts w:cs="Calibri"/>
        </w:rPr>
        <w:tab/>
      </w:r>
      <w:r w:rsidRPr="00B04DD1">
        <w:rPr>
          <w:rFonts w:cs="Calibri"/>
        </w:rPr>
        <w:tab/>
        <w:t>Associated significant learning difficulties</w:t>
      </w:r>
    </w:p>
    <w:p w:rsidR="0035194D" w:rsidRPr="00B04DD1" w:rsidRDefault="0035194D" w:rsidP="005E0E3A">
      <w:pPr>
        <w:autoSpaceDE w:val="0"/>
        <w:autoSpaceDN w:val="0"/>
        <w:adjustRightInd w:val="0"/>
        <w:rPr>
          <w:rFonts w:cs="Calibri"/>
        </w:rPr>
      </w:pPr>
      <w:r w:rsidRPr="00B04DD1">
        <w:rPr>
          <w:rFonts w:cs="Calibri"/>
        </w:rPr>
        <w:tab/>
        <w:t>LOW TO UNKNOWN</w:t>
      </w:r>
    </w:p>
    <w:p w:rsidR="0035194D" w:rsidRPr="00B04DD1" w:rsidRDefault="0035194D" w:rsidP="006F4D8F">
      <w:pPr>
        <w:autoSpaceDE w:val="0"/>
        <w:autoSpaceDN w:val="0"/>
        <w:adjustRightInd w:val="0"/>
        <w:ind w:left="720" w:firstLine="720"/>
        <w:rPr>
          <w:rFonts w:cs="Calibri"/>
        </w:rPr>
      </w:pPr>
      <w:r w:rsidRPr="00B04DD1">
        <w:rPr>
          <w:rFonts w:cs="Calibri"/>
        </w:rPr>
        <w:t>Lesional epilepsy</w:t>
      </w:r>
    </w:p>
    <w:p w:rsidR="0035194D" w:rsidRPr="00B04DD1" w:rsidRDefault="0035194D" w:rsidP="006F4D8F">
      <w:pPr>
        <w:autoSpaceDE w:val="0"/>
        <w:autoSpaceDN w:val="0"/>
        <w:adjustRightInd w:val="0"/>
        <w:ind w:left="720" w:firstLine="720"/>
        <w:rPr>
          <w:rFonts w:cs="Calibri"/>
        </w:rPr>
      </w:pPr>
      <w:r w:rsidRPr="00B04DD1">
        <w:rPr>
          <w:rFonts w:cs="Calibri"/>
        </w:rPr>
        <w:t>Polytherapy</w:t>
      </w:r>
    </w:p>
    <w:p w:rsidR="0035194D" w:rsidRPr="00B04DD1" w:rsidRDefault="0035194D" w:rsidP="006F4D8F">
      <w:pPr>
        <w:autoSpaceDE w:val="0"/>
        <w:autoSpaceDN w:val="0"/>
        <w:adjustRightInd w:val="0"/>
        <w:ind w:left="720"/>
        <w:rPr>
          <w:rFonts w:cs="Calibri"/>
        </w:rPr>
      </w:pPr>
      <w:r w:rsidRPr="00B04DD1">
        <w:rPr>
          <w:rFonts w:cs="Calibri"/>
        </w:rPr>
        <w:tab/>
        <w:t>Sudden withdrawal of antiepileptic drugs</w:t>
      </w:r>
    </w:p>
    <w:p w:rsidR="0035194D" w:rsidRPr="00B04DD1" w:rsidRDefault="0035194D" w:rsidP="006F4D8F">
      <w:pPr>
        <w:autoSpaceDE w:val="0"/>
        <w:autoSpaceDN w:val="0"/>
        <w:adjustRightInd w:val="0"/>
        <w:ind w:left="720"/>
        <w:rPr>
          <w:rFonts w:cs="Calibri"/>
        </w:rPr>
      </w:pPr>
      <w:r w:rsidRPr="00B04DD1">
        <w:rPr>
          <w:rFonts w:cs="Calibri"/>
        </w:rPr>
        <w:tab/>
        <w:t>Frequent and abrupt changes to medication</w:t>
      </w:r>
    </w:p>
    <w:p w:rsidR="0035194D" w:rsidRPr="00B04DD1" w:rsidRDefault="0035194D" w:rsidP="006F4D8F">
      <w:pPr>
        <w:autoSpaceDE w:val="0"/>
        <w:autoSpaceDN w:val="0"/>
        <w:adjustRightInd w:val="0"/>
        <w:ind w:left="720"/>
        <w:rPr>
          <w:rFonts w:cs="Calibri"/>
        </w:rPr>
      </w:pPr>
      <w:r w:rsidRPr="00B04DD1">
        <w:rPr>
          <w:rFonts w:cs="Calibri"/>
        </w:rPr>
        <w:tab/>
        <w:t>Young adults addicted to alcohol and drugs</w:t>
      </w:r>
    </w:p>
    <w:p w:rsidR="0035194D" w:rsidRPr="00B04DD1" w:rsidRDefault="0035194D" w:rsidP="006F4D8F">
      <w:pPr>
        <w:autoSpaceDE w:val="0"/>
        <w:autoSpaceDN w:val="0"/>
        <w:adjustRightInd w:val="0"/>
        <w:ind w:left="720"/>
        <w:rPr>
          <w:rFonts w:cs="Calibri"/>
        </w:rPr>
      </w:pPr>
      <w:r w:rsidRPr="00B04DD1">
        <w:rPr>
          <w:rFonts w:cs="Calibri"/>
        </w:rPr>
        <w:tab/>
        <w:t>Associated psychological comorbidity</w:t>
      </w:r>
    </w:p>
    <w:p w:rsidR="0035194D" w:rsidRPr="00B04DD1" w:rsidRDefault="0035194D" w:rsidP="006F4D8F">
      <w:pPr>
        <w:autoSpaceDE w:val="0"/>
        <w:autoSpaceDN w:val="0"/>
        <w:adjustRightInd w:val="0"/>
        <w:ind w:left="720"/>
        <w:rPr>
          <w:rFonts w:cs="Calibri"/>
        </w:rPr>
      </w:pPr>
      <w:r w:rsidRPr="00B04DD1">
        <w:rPr>
          <w:rFonts w:cs="Calibri"/>
        </w:rPr>
        <w:tab/>
        <w:t>Duration of epilepsy</w:t>
      </w:r>
    </w:p>
    <w:p w:rsidR="0035194D" w:rsidRPr="00B04DD1" w:rsidRDefault="0035194D" w:rsidP="001960FD">
      <w:pPr>
        <w:autoSpaceDE w:val="0"/>
        <w:autoSpaceDN w:val="0"/>
        <w:adjustRightInd w:val="0"/>
        <w:ind w:left="720" w:firstLine="720"/>
        <w:rPr>
          <w:rFonts w:cs="Calibri"/>
        </w:rPr>
      </w:pPr>
      <w:r w:rsidRPr="00B04DD1">
        <w:rPr>
          <w:rFonts w:cs="Calibri"/>
        </w:rPr>
        <w:t>Epilepsy surgery</w:t>
      </w:r>
    </w:p>
    <w:p w:rsidR="0035194D" w:rsidRPr="00B04DD1" w:rsidRDefault="0035194D" w:rsidP="001960FD">
      <w:pPr>
        <w:autoSpaceDE w:val="0"/>
        <w:autoSpaceDN w:val="0"/>
        <w:adjustRightInd w:val="0"/>
        <w:ind w:left="720" w:firstLine="720"/>
        <w:rPr>
          <w:rFonts w:cs="Calibri"/>
        </w:rPr>
      </w:pPr>
      <w:r w:rsidRPr="00B04DD1">
        <w:rPr>
          <w:rFonts w:cs="Calibri"/>
        </w:rPr>
        <w:t>Age of onset</w:t>
      </w:r>
    </w:p>
    <w:p w:rsidR="0035194D" w:rsidRDefault="0035194D" w:rsidP="002E6000"/>
    <w:p w:rsidR="0035194D" w:rsidRDefault="0035194D" w:rsidP="002E6000">
      <w:r>
        <w:t>It is the type of the seizure, not necessarily the epilepsy syndrome that indicates the risk.⁵ However, some of the complex epilepsy syndromes carry additional risk, e.g. Dravet syndrome carries a 15% risk of SUDEP.</w:t>
      </w:r>
    </w:p>
    <w:p w:rsidR="0035194D" w:rsidRDefault="0035194D"/>
    <w:p w:rsidR="0035194D" w:rsidRDefault="0035194D">
      <w:pPr>
        <w:rPr>
          <w:b/>
        </w:rPr>
      </w:pPr>
      <w:r w:rsidRPr="007B489F">
        <w:rPr>
          <w:b/>
        </w:rPr>
        <w:t xml:space="preserve">How to minimise </w:t>
      </w:r>
      <w:r>
        <w:rPr>
          <w:b/>
        </w:rPr>
        <w:t xml:space="preserve">the </w:t>
      </w:r>
      <w:r w:rsidRPr="007B489F">
        <w:rPr>
          <w:b/>
        </w:rPr>
        <w:t>risk of SUDEP?</w:t>
      </w:r>
    </w:p>
    <w:p w:rsidR="0035194D" w:rsidRPr="007B489F" w:rsidRDefault="0035194D">
      <w:pPr>
        <w:rPr>
          <w:b/>
        </w:rPr>
      </w:pPr>
      <w:r>
        <w:rPr>
          <w:rStyle w:val="s1"/>
        </w:rPr>
        <w:t>Optimising management of the epilepsy and striving for seizure freedom, where possible, should remain at the forefront of preventive care. This includes accurate diagnosis, using appropriate AEDs and referring for tertiary centres at an early stage in case of refractory epilepsy are the main stays of risk reduction. The following steps are helpful for professionals involved in care of children and young persons with epilepsy.</w:t>
      </w:r>
    </w:p>
    <w:p w:rsidR="0035194D" w:rsidRDefault="0035194D" w:rsidP="004449F2">
      <w:pPr>
        <w:numPr>
          <w:ilvl w:val="0"/>
          <w:numId w:val="3"/>
        </w:numPr>
      </w:pPr>
      <w:r>
        <w:t>Nocturnal supervision (age appropriate and consider privacy)</w:t>
      </w:r>
    </w:p>
    <w:p w:rsidR="0035194D" w:rsidRDefault="0035194D" w:rsidP="004449F2">
      <w:pPr>
        <w:numPr>
          <w:ilvl w:val="0"/>
          <w:numId w:val="3"/>
        </w:numPr>
      </w:pPr>
      <w:r>
        <w:t xml:space="preserve">Raising the awareness of risks with epilepsy including SUDEP </w:t>
      </w:r>
    </w:p>
    <w:p w:rsidR="0035194D" w:rsidRPr="004449F2" w:rsidRDefault="0035194D" w:rsidP="0019415E">
      <w:pPr>
        <w:numPr>
          <w:ilvl w:val="0"/>
          <w:numId w:val="3"/>
        </w:numPr>
      </w:pPr>
      <w:r w:rsidRPr="004449F2">
        <w:rPr>
          <w:lang w:val="en-US"/>
        </w:rPr>
        <w:t>Identi</w:t>
      </w:r>
      <w:r>
        <w:rPr>
          <w:lang w:val="en-US"/>
        </w:rPr>
        <w:t>fying and minimising triggers for seizures</w:t>
      </w:r>
    </w:p>
    <w:p w:rsidR="0035194D" w:rsidRPr="004449F2" w:rsidRDefault="0035194D" w:rsidP="004449F2">
      <w:pPr>
        <w:numPr>
          <w:ilvl w:val="0"/>
          <w:numId w:val="3"/>
        </w:numPr>
      </w:pPr>
      <w:r>
        <w:rPr>
          <w:lang w:val="en-US"/>
        </w:rPr>
        <w:t>Encouraging compliance / adherence</w:t>
      </w:r>
    </w:p>
    <w:p w:rsidR="0035194D" w:rsidRPr="004449F2" w:rsidRDefault="0035194D" w:rsidP="004449F2">
      <w:pPr>
        <w:numPr>
          <w:ilvl w:val="0"/>
          <w:numId w:val="3"/>
        </w:numPr>
      </w:pPr>
      <w:r w:rsidRPr="004449F2">
        <w:rPr>
          <w:lang w:val="en-US"/>
        </w:rPr>
        <w:t>Regular reviews</w:t>
      </w:r>
    </w:p>
    <w:p w:rsidR="0035194D" w:rsidRPr="004449F2" w:rsidRDefault="0035194D" w:rsidP="004449F2">
      <w:pPr>
        <w:numPr>
          <w:ilvl w:val="0"/>
          <w:numId w:val="3"/>
        </w:numPr>
      </w:pPr>
      <w:r>
        <w:rPr>
          <w:lang w:val="en-US"/>
        </w:rPr>
        <w:t>Monitoring  including self-monitoring by young adults using technology</w:t>
      </w:r>
    </w:p>
    <w:p w:rsidR="0035194D" w:rsidRPr="004449F2" w:rsidRDefault="0035194D" w:rsidP="004449F2">
      <w:pPr>
        <w:numPr>
          <w:ilvl w:val="0"/>
          <w:numId w:val="3"/>
        </w:numPr>
      </w:pPr>
      <w:r>
        <w:rPr>
          <w:lang w:val="en-US"/>
        </w:rPr>
        <w:t>In r</w:t>
      </w:r>
      <w:r w:rsidRPr="004449F2">
        <w:rPr>
          <w:lang w:val="en-US"/>
        </w:rPr>
        <w:t xml:space="preserve">efractory </w:t>
      </w:r>
      <w:r>
        <w:rPr>
          <w:lang w:val="en-US"/>
        </w:rPr>
        <w:t>epilepsy consider earlier involvement of tertiary centres and referral for ketogenic diet or epilepsy surgery when appropriate</w:t>
      </w:r>
    </w:p>
    <w:p w:rsidR="0035194D" w:rsidRPr="004449F2" w:rsidRDefault="0035194D" w:rsidP="004449F2">
      <w:pPr>
        <w:numPr>
          <w:ilvl w:val="0"/>
          <w:numId w:val="3"/>
        </w:numPr>
      </w:pPr>
      <w:r>
        <w:rPr>
          <w:lang w:val="en-US"/>
        </w:rPr>
        <w:t xml:space="preserve">Use of </w:t>
      </w:r>
      <w:r w:rsidRPr="004449F2">
        <w:rPr>
          <w:lang w:val="en-US"/>
        </w:rPr>
        <w:t>SUDEP safety checklist</w:t>
      </w:r>
      <w:r>
        <w:rPr>
          <w:lang w:val="en-US"/>
        </w:rPr>
        <w:t xml:space="preserve"> (www.sudep.org)</w:t>
      </w:r>
    </w:p>
    <w:p w:rsidR="0035194D" w:rsidRPr="004449F2" w:rsidRDefault="0035194D" w:rsidP="004449F2">
      <w:pPr>
        <w:numPr>
          <w:ilvl w:val="0"/>
          <w:numId w:val="3"/>
        </w:numPr>
      </w:pPr>
      <w:r>
        <w:rPr>
          <w:lang w:val="en-US"/>
        </w:rPr>
        <w:t xml:space="preserve">May recommend </w:t>
      </w:r>
      <w:r w:rsidRPr="004449F2">
        <w:rPr>
          <w:lang w:val="en-US"/>
        </w:rPr>
        <w:t>safety devices</w:t>
      </w:r>
      <w:r>
        <w:rPr>
          <w:lang w:val="en-US"/>
        </w:rPr>
        <w:t xml:space="preserve"> for seizures in sleep </w:t>
      </w:r>
    </w:p>
    <w:p w:rsidR="0035194D" w:rsidRPr="004449F2" w:rsidRDefault="0035194D" w:rsidP="004449F2">
      <w:pPr>
        <w:numPr>
          <w:ilvl w:val="1"/>
          <w:numId w:val="3"/>
        </w:numPr>
      </w:pPr>
      <w:r w:rsidRPr="004449F2">
        <w:rPr>
          <w:lang w:val="en-US"/>
        </w:rPr>
        <w:t>Anti-suffocation pillow</w:t>
      </w:r>
    </w:p>
    <w:p w:rsidR="0035194D" w:rsidRPr="004449F2" w:rsidRDefault="0035194D" w:rsidP="004449F2">
      <w:pPr>
        <w:numPr>
          <w:ilvl w:val="1"/>
          <w:numId w:val="3"/>
        </w:numPr>
      </w:pPr>
      <w:r w:rsidRPr="004449F2">
        <w:rPr>
          <w:lang w:val="en-US"/>
        </w:rPr>
        <w:t>Apnoea/seizure monitor</w:t>
      </w:r>
    </w:p>
    <w:p w:rsidR="0035194D" w:rsidRDefault="0035194D"/>
    <w:p w:rsidR="0035194D" w:rsidRDefault="0035194D">
      <w:pPr>
        <w:rPr>
          <w:b/>
        </w:rPr>
      </w:pPr>
      <w:r w:rsidRPr="007B489F">
        <w:rPr>
          <w:b/>
        </w:rPr>
        <w:t>Discussion about SUDEP</w:t>
      </w:r>
    </w:p>
    <w:p w:rsidR="0035194D" w:rsidRPr="00C41448" w:rsidRDefault="0035194D" w:rsidP="00190E02">
      <w:pPr>
        <w:rPr>
          <w:u w:val="single"/>
        </w:rPr>
      </w:pPr>
      <w:r w:rsidRPr="00C41448">
        <w:rPr>
          <w:u w:val="single"/>
        </w:rPr>
        <w:t>What is the right time</w:t>
      </w:r>
      <w:r>
        <w:rPr>
          <w:u w:val="single"/>
        </w:rPr>
        <w:t xml:space="preserve"> for initiation of discussion</w:t>
      </w:r>
      <w:r w:rsidRPr="00C41448">
        <w:rPr>
          <w:u w:val="single"/>
        </w:rPr>
        <w:t>?</w:t>
      </w:r>
    </w:p>
    <w:p w:rsidR="0035194D" w:rsidRDefault="0035194D" w:rsidP="00190E02">
      <w:pPr>
        <w:rPr>
          <w:rStyle w:val="s1"/>
        </w:rPr>
      </w:pPr>
      <w:r>
        <w:rPr>
          <w:rStyle w:val="s1"/>
        </w:rPr>
        <w:t xml:space="preserve">It is still a contentious issue as to the initiation and right timing of discussion of SUDEP with families with children and young adults with epilepsy. Some professionals argue that risk of SUDEP is minimal in children therefore introduction of the topic would cause undue stress/ worry and may break professional relationship with family. On the contrary it is easier to initiate discussion at the time of diagnosis as seizure freedom is still the goal of treatment.⁵ Parents who have witnessed the first seizure carry a strong impression of life threat. Therefore, discussion about SUDEP during initial professional contact may be appropriate as realising the true risk may be less daunting than true experience. SUDEP discussion should done with family and young adult at some point during the journey if not made during initial days. NICE (CG 137) recommends that “Tailored information and discussion between child, young person or adult with epilepsy, their family and/or carers (as appropriate) and health care professionals should take account of small but definite risk of SUDEP”⁶. </w:t>
      </w:r>
    </w:p>
    <w:p w:rsidR="0035194D" w:rsidRDefault="0035194D" w:rsidP="00190E02">
      <w:r>
        <w:rPr>
          <w:rStyle w:val="s1"/>
        </w:rPr>
        <w:t>EPEN recommends that discussion about all risks relating to seizures (including SUDEP when appropriate) and treatment should be made at an early stage, near to the time of diagnosis.</w:t>
      </w:r>
    </w:p>
    <w:p w:rsidR="0035194D" w:rsidRDefault="0035194D">
      <w:pPr>
        <w:rPr>
          <w:b/>
        </w:rPr>
      </w:pPr>
    </w:p>
    <w:p w:rsidR="0035194D" w:rsidRPr="00C41448" w:rsidRDefault="0035194D">
      <w:pPr>
        <w:rPr>
          <w:b/>
          <w:u w:val="single"/>
        </w:rPr>
      </w:pPr>
      <w:r>
        <w:rPr>
          <w:u w:val="single"/>
        </w:rPr>
        <w:t xml:space="preserve">Conditions where </w:t>
      </w:r>
      <w:r w:rsidRPr="00C41448">
        <w:rPr>
          <w:u w:val="single"/>
        </w:rPr>
        <w:t xml:space="preserve">it </w:t>
      </w:r>
      <w:r>
        <w:rPr>
          <w:u w:val="single"/>
        </w:rPr>
        <w:t>is appropriate to discuss⁷</w:t>
      </w:r>
    </w:p>
    <w:p w:rsidR="0035194D" w:rsidRPr="00963A6B" w:rsidRDefault="0035194D">
      <w:r>
        <w:t>EPEN recommends</w:t>
      </w:r>
      <w:r w:rsidRPr="00963A6B">
        <w:t xml:space="preserve"> initiat</w:t>
      </w:r>
      <w:r>
        <w:t xml:space="preserve">ing the </w:t>
      </w:r>
      <w:r w:rsidRPr="00963A6B">
        <w:t xml:space="preserve">discussion about SUDEP </w:t>
      </w:r>
      <w:r>
        <w:t>under these broad guidelines which are not restrictive. Discussion should be sensitive and consider child or young adult’s emotional maturity.</w:t>
      </w:r>
    </w:p>
    <w:p w:rsidR="0035194D" w:rsidRPr="00B04DD1" w:rsidRDefault="0035194D" w:rsidP="005070F5">
      <w:pPr>
        <w:autoSpaceDE w:val="0"/>
        <w:autoSpaceDN w:val="0"/>
        <w:adjustRightInd w:val="0"/>
        <w:rPr>
          <w:rFonts w:cs="Calibri"/>
          <w:b/>
          <w:bCs/>
        </w:rPr>
      </w:pPr>
      <w:r w:rsidRPr="00B04DD1">
        <w:rPr>
          <w:rFonts w:cs="Calibri"/>
          <w:bCs/>
          <w:i/>
        </w:rPr>
        <w:t xml:space="preserve">SUDEP </w:t>
      </w:r>
      <w:r w:rsidRPr="00B04DD1">
        <w:rPr>
          <w:rFonts w:cs="Calibri"/>
          <w:bCs/>
          <w:i/>
          <w:color w:val="C00000"/>
        </w:rPr>
        <w:t>should always be discussed</w:t>
      </w:r>
      <w:r w:rsidRPr="00B04DD1">
        <w:rPr>
          <w:rFonts w:cs="Calibri"/>
          <w:bCs/>
          <w:i/>
        </w:rPr>
        <w:t xml:space="preserve"> with families of children</w:t>
      </w:r>
      <w:r w:rsidRPr="00B04DD1">
        <w:rPr>
          <w:rFonts w:cs="Calibri"/>
          <w:b/>
          <w:bCs/>
        </w:rPr>
        <w:t>:</w:t>
      </w:r>
    </w:p>
    <w:p w:rsidR="0035194D" w:rsidRPr="00B04DD1" w:rsidRDefault="0035194D" w:rsidP="008B7F58">
      <w:pPr>
        <w:autoSpaceDE w:val="0"/>
        <w:autoSpaceDN w:val="0"/>
        <w:adjustRightInd w:val="0"/>
        <w:ind w:firstLine="720"/>
        <w:rPr>
          <w:rFonts w:cs="Calibri"/>
        </w:rPr>
      </w:pPr>
      <w:r w:rsidRPr="00B04DD1">
        <w:rPr>
          <w:rFonts w:cs="Calibri"/>
        </w:rPr>
        <w:t>With generalised tonic clonic seizures (GTCS)</w:t>
      </w:r>
      <w:r w:rsidRPr="00B04DD1">
        <w:rPr>
          <w:rFonts w:cs="Calibri"/>
        </w:rPr>
        <w:tab/>
      </w:r>
    </w:p>
    <w:p w:rsidR="0035194D" w:rsidRPr="00B04DD1" w:rsidRDefault="0035194D" w:rsidP="008B7F58">
      <w:pPr>
        <w:autoSpaceDE w:val="0"/>
        <w:autoSpaceDN w:val="0"/>
        <w:adjustRightInd w:val="0"/>
        <w:ind w:firstLine="720"/>
        <w:rPr>
          <w:rFonts w:cs="Calibri"/>
        </w:rPr>
      </w:pPr>
      <w:r w:rsidRPr="00B04DD1">
        <w:rPr>
          <w:rFonts w:cs="Calibri"/>
        </w:rPr>
        <w:t>With symptomatic epilepsy, (i.e. epilepsy in the context of a structural brain</w:t>
      </w:r>
    </w:p>
    <w:p w:rsidR="0035194D" w:rsidRPr="00B04DD1" w:rsidRDefault="0035194D" w:rsidP="005070F5">
      <w:pPr>
        <w:autoSpaceDE w:val="0"/>
        <w:autoSpaceDN w:val="0"/>
        <w:adjustRightInd w:val="0"/>
        <w:rPr>
          <w:rFonts w:cs="Calibri"/>
        </w:rPr>
      </w:pPr>
      <w:r w:rsidRPr="00B04DD1">
        <w:rPr>
          <w:rFonts w:cs="Calibri"/>
        </w:rPr>
        <w:tab/>
        <w:t>abnormality, metabolic disorder or neuro-degenerative disorder)</w:t>
      </w:r>
    </w:p>
    <w:p w:rsidR="0035194D" w:rsidRPr="00B04DD1" w:rsidRDefault="0035194D" w:rsidP="005070F5">
      <w:pPr>
        <w:autoSpaceDE w:val="0"/>
        <w:autoSpaceDN w:val="0"/>
        <w:adjustRightInd w:val="0"/>
        <w:rPr>
          <w:rFonts w:cs="Calibri"/>
        </w:rPr>
      </w:pPr>
      <w:r w:rsidRPr="00B04DD1">
        <w:rPr>
          <w:rFonts w:cs="Calibri"/>
        </w:rPr>
        <w:tab/>
        <w:t>With drug resistant epilepsy especially tonic clonic seizures</w:t>
      </w:r>
    </w:p>
    <w:p w:rsidR="0035194D" w:rsidRPr="00B04DD1" w:rsidRDefault="0035194D" w:rsidP="005070F5">
      <w:pPr>
        <w:autoSpaceDE w:val="0"/>
        <w:autoSpaceDN w:val="0"/>
        <w:adjustRightInd w:val="0"/>
        <w:rPr>
          <w:rFonts w:cs="Calibri"/>
        </w:rPr>
      </w:pPr>
      <w:r w:rsidRPr="00B04DD1">
        <w:rPr>
          <w:rFonts w:cs="Calibri"/>
        </w:rPr>
        <w:tab/>
        <w:t>With recurrent episodes of status epilepticus (+/- admissions to PICU)</w:t>
      </w:r>
    </w:p>
    <w:p w:rsidR="0035194D" w:rsidRPr="00B04DD1" w:rsidRDefault="0035194D" w:rsidP="005070F5">
      <w:pPr>
        <w:autoSpaceDE w:val="0"/>
        <w:autoSpaceDN w:val="0"/>
        <w:adjustRightInd w:val="0"/>
        <w:rPr>
          <w:rFonts w:cs="Calibri"/>
        </w:rPr>
      </w:pPr>
      <w:r w:rsidRPr="00B04DD1">
        <w:rPr>
          <w:rFonts w:cs="Calibri"/>
        </w:rPr>
        <w:tab/>
        <w:t>With associated severe neurological impairment</w:t>
      </w:r>
    </w:p>
    <w:p w:rsidR="0035194D" w:rsidRPr="00B04DD1" w:rsidRDefault="0035194D" w:rsidP="005070F5">
      <w:pPr>
        <w:autoSpaceDE w:val="0"/>
        <w:autoSpaceDN w:val="0"/>
        <w:adjustRightInd w:val="0"/>
        <w:rPr>
          <w:rFonts w:cs="Calibri"/>
        </w:rPr>
      </w:pPr>
      <w:r w:rsidRPr="00B04DD1">
        <w:rPr>
          <w:rFonts w:cs="Calibri"/>
        </w:rPr>
        <w:tab/>
        <w:t>Who ask direct questions about death and epilepsy</w:t>
      </w:r>
    </w:p>
    <w:p w:rsidR="0035194D" w:rsidRPr="00B04DD1" w:rsidRDefault="0035194D" w:rsidP="005070F5">
      <w:pPr>
        <w:autoSpaceDE w:val="0"/>
        <w:autoSpaceDN w:val="0"/>
        <w:adjustRightInd w:val="0"/>
        <w:rPr>
          <w:rFonts w:cs="Calibri"/>
          <w:bCs/>
          <w:i/>
        </w:rPr>
      </w:pPr>
      <w:r w:rsidRPr="00B04DD1">
        <w:rPr>
          <w:rFonts w:cs="Calibri"/>
          <w:bCs/>
          <w:i/>
        </w:rPr>
        <w:t xml:space="preserve">SUDEP discussion </w:t>
      </w:r>
      <w:r w:rsidRPr="00B04DD1">
        <w:rPr>
          <w:rFonts w:cs="Calibri"/>
          <w:bCs/>
          <w:i/>
          <w:color w:val="C00000"/>
        </w:rPr>
        <w:t>should be considered</w:t>
      </w:r>
      <w:r w:rsidRPr="00B04DD1">
        <w:rPr>
          <w:rFonts w:cs="Calibri"/>
          <w:bCs/>
          <w:i/>
        </w:rPr>
        <w:t xml:space="preserve"> in children:</w:t>
      </w:r>
    </w:p>
    <w:p w:rsidR="0035194D" w:rsidRPr="00B04DD1" w:rsidRDefault="0035194D" w:rsidP="005070F5">
      <w:pPr>
        <w:autoSpaceDE w:val="0"/>
        <w:autoSpaceDN w:val="0"/>
        <w:adjustRightInd w:val="0"/>
        <w:rPr>
          <w:rFonts w:cs="Calibri"/>
        </w:rPr>
      </w:pPr>
      <w:r w:rsidRPr="00B04DD1">
        <w:rPr>
          <w:rFonts w:cs="Calibri"/>
        </w:rPr>
        <w:tab/>
        <w:t>With additional learning and physical difficulties</w:t>
      </w:r>
    </w:p>
    <w:p w:rsidR="0035194D" w:rsidRPr="00B04DD1" w:rsidRDefault="0035194D" w:rsidP="005070F5">
      <w:pPr>
        <w:autoSpaceDE w:val="0"/>
        <w:autoSpaceDN w:val="0"/>
        <w:adjustRightInd w:val="0"/>
        <w:rPr>
          <w:rFonts w:cs="Calibri"/>
        </w:rPr>
      </w:pPr>
      <w:r w:rsidRPr="00B04DD1">
        <w:rPr>
          <w:rFonts w:cs="Calibri"/>
        </w:rPr>
        <w:tab/>
        <w:t>Who are not complying with treatment</w:t>
      </w:r>
    </w:p>
    <w:p w:rsidR="0035194D" w:rsidRPr="00B04DD1" w:rsidRDefault="0035194D" w:rsidP="005070F5">
      <w:pPr>
        <w:autoSpaceDE w:val="0"/>
        <w:autoSpaceDN w:val="0"/>
        <w:adjustRightInd w:val="0"/>
        <w:rPr>
          <w:rFonts w:cs="Calibri"/>
        </w:rPr>
      </w:pPr>
      <w:r w:rsidRPr="00B04DD1">
        <w:rPr>
          <w:rFonts w:cs="Calibri"/>
        </w:rPr>
        <w:tab/>
        <w:t>Who are resisting treatment</w:t>
      </w:r>
    </w:p>
    <w:p w:rsidR="0035194D" w:rsidRPr="00B04DD1" w:rsidRDefault="0035194D" w:rsidP="005070F5">
      <w:pPr>
        <w:autoSpaceDE w:val="0"/>
        <w:autoSpaceDN w:val="0"/>
        <w:adjustRightInd w:val="0"/>
        <w:rPr>
          <w:rFonts w:cs="Calibri"/>
          <w:bCs/>
          <w:i/>
        </w:rPr>
      </w:pPr>
      <w:r w:rsidRPr="00B04DD1">
        <w:rPr>
          <w:rFonts w:cs="Calibri"/>
          <w:bCs/>
          <w:i/>
        </w:rPr>
        <w:t xml:space="preserve">SUDEP </w:t>
      </w:r>
      <w:r w:rsidRPr="00B04DD1">
        <w:rPr>
          <w:rFonts w:cs="Calibri"/>
          <w:bCs/>
          <w:i/>
          <w:color w:val="C00000"/>
        </w:rPr>
        <w:t>does not need to be routinely discussed</w:t>
      </w:r>
      <w:r w:rsidRPr="00B04DD1">
        <w:rPr>
          <w:rFonts w:cs="Calibri"/>
          <w:bCs/>
          <w:i/>
        </w:rPr>
        <w:t xml:space="preserve"> with families of children with </w:t>
      </w:r>
    </w:p>
    <w:p w:rsidR="0035194D" w:rsidRPr="00B04DD1" w:rsidRDefault="0035194D" w:rsidP="005070F5">
      <w:pPr>
        <w:autoSpaceDE w:val="0"/>
        <w:autoSpaceDN w:val="0"/>
        <w:adjustRightInd w:val="0"/>
        <w:rPr>
          <w:rFonts w:cs="Calibri"/>
        </w:rPr>
      </w:pPr>
      <w:r w:rsidRPr="00B04DD1">
        <w:rPr>
          <w:rFonts w:cs="Calibri"/>
        </w:rPr>
        <w:tab/>
        <w:t>Benign familial infantile seizures</w:t>
      </w:r>
    </w:p>
    <w:p w:rsidR="0035194D" w:rsidRPr="00B04DD1" w:rsidRDefault="0035194D" w:rsidP="005070F5">
      <w:pPr>
        <w:autoSpaceDE w:val="0"/>
        <w:autoSpaceDN w:val="0"/>
        <w:adjustRightInd w:val="0"/>
        <w:rPr>
          <w:rFonts w:cs="Calibri"/>
        </w:rPr>
      </w:pPr>
      <w:r w:rsidRPr="00B04DD1">
        <w:rPr>
          <w:rFonts w:cs="Calibri"/>
        </w:rPr>
        <w:tab/>
        <w:t>Childhood absence epilepsy</w:t>
      </w:r>
    </w:p>
    <w:p w:rsidR="0035194D" w:rsidRPr="00B04DD1" w:rsidRDefault="0035194D" w:rsidP="00963A6B">
      <w:pPr>
        <w:autoSpaceDE w:val="0"/>
        <w:autoSpaceDN w:val="0"/>
        <w:adjustRightInd w:val="0"/>
        <w:rPr>
          <w:rFonts w:cs="Calibri"/>
        </w:rPr>
      </w:pPr>
      <w:r w:rsidRPr="00B04DD1">
        <w:rPr>
          <w:rFonts w:cs="Calibri"/>
        </w:rPr>
        <w:tab/>
        <w:t>Benign partial epilepsy with centro-temporal spikes (BECTS)</w:t>
      </w:r>
    </w:p>
    <w:p w:rsidR="0035194D" w:rsidRPr="00B04DD1" w:rsidRDefault="0035194D" w:rsidP="00093B6A">
      <w:pPr>
        <w:autoSpaceDE w:val="0"/>
        <w:autoSpaceDN w:val="0"/>
        <w:adjustRightInd w:val="0"/>
        <w:rPr>
          <w:rFonts w:cs="Calibri"/>
        </w:rPr>
      </w:pPr>
      <w:r w:rsidRPr="00B04DD1">
        <w:rPr>
          <w:rFonts w:cs="Calibri"/>
        </w:rPr>
        <w:tab/>
        <w:t>Well controlled benign epilepsies</w:t>
      </w:r>
    </w:p>
    <w:p w:rsidR="0035194D" w:rsidRDefault="0035194D">
      <w:pPr>
        <w:rPr>
          <w:u w:val="single"/>
        </w:rPr>
      </w:pPr>
    </w:p>
    <w:p w:rsidR="0035194D" w:rsidRPr="00F677D3" w:rsidRDefault="0035194D">
      <w:pPr>
        <w:rPr>
          <w:u w:val="single"/>
        </w:rPr>
      </w:pPr>
      <w:r w:rsidRPr="00F677D3">
        <w:rPr>
          <w:u w:val="single"/>
        </w:rPr>
        <w:t>Who should discuss?</w:t>
      </w:r>
    </w:p>
    <w:p w:rsidR="0035194D" w:rsidRPr="00F677D3" w:rsidRDefault="0035194D" w:rsidP="00F677D3">
      <w:pPr>
        <w:rPr>
          <w:lang w:eastAsia="en-GB"/>
        </w:rPr>
      </w:pPr>
      <w:r w:rsidRPr="00F677D3">
        <w:rPr>
          <w:lang w:eastAsia="en-GB"/>
        </w:rPr>
        <w:t>Ideally, discussion regarding SUDEP should be done in the epilepsy clinic by a consultant</w:t>
      </w:r>
      <w:r>
        <w:rPr>
          <w:lang w:eastAsia="en-GB"/>
        </w:rPr>
        <w:t>, or a professional with special interest and/or expertise in paediatric epilepsy.</w:t>
      </w:r>
    </w:p>
    <w:p w:rsidR="0035194D" w:rsidRDefault="0035194D"/>
    <w:p w:rsidR="0035194D" w:rsidRPr="00F677D3" w:rsidRDefault="0035194D">
      <w:pPr>
        <w:rPr>
          <w:u w:val="single"/>
        </w:rPr>
      </w:pPr>
      <w:r w:rsidRPr="00F677D3">
        <w:rPr>
          <w:u w:val="single"/>
        </w:rPr>
        <w:t>Documentation of discussions</w:t>
      </w:r>
      <w:r>
        <w:rPr>
          <w:u w:val="single"/>
        </w:rPr>
        <w:t>:</w:t>
      </w:r>
    </w:p>
    <w:p w:rsidR="0035194D" w:rsidRPr="00F677D3" w:rsidRDefault="0035194D" w:rsidP="00F677D3">
      <w:pPr>
        <w:rPr>
          <w:lang w:eastAsia="en-GB"/>
        </w:rPr>
      </w:pPr>
      <w:r w:rsidRPr="00F677D3">
        <w:rPr>
          <w:lang w:eastAsia="en-GB"/>
        </w:rPr>
        <w:t>The content of the discussion should be clearly documented in the patient’s hospital notes</w:t>
      </w:r>
    </w:p>
    <w:p w:rsidR="0035194D" w:rsidRPr="00F677D3" w:rsidRDefault="0035194D" w:rsidP="00F677D3">
      <w:pPr>
        <w:rPr>
          <w:lang w:eastAsia="en-GB"/>
        </w:rPr>
      </w:pPr>
      <w:r w:rsidRPr="00F677D3">
        <w:rPr>
          <w:lang w:eastAsia="en-GB"/>
        </w:rPr>
        <w:t>and included in the correspondence to the GP that is copied to the parents and child. The</w:t>
      </w:r>
    </w:p>
    <w:p w:rsidR="0035194D" w:rsidRDefault="0035194D" w:rsidP="00F677D3">
      <w:pPr>
        <w:rPr>
          <w:lang w:eastAsia="en-GB"/>
        </w:rPr>
      </w:pPr>
      <w:r w:rsidRPr="00F677D3">
        <w:rPr>
          <w:lang w:eastAsia="en-GB"/>
        </w:rPr>
        <w:t>family should also be given a generic informat</w:t>
      </w:r>
      <w:r>
        <w:rPr>
          <w:lang w:eastAsia="en-GB"/>
        </w:rPr>
        <w:t>ion sheet on SUDEP. EPEN recommends providing the leaflet from young epilepsy.⁸ (see appendix).</w:t>
      </w:r>
    </w:p>
    <w:p w:rsidR="0035194D" w:rsidRDefault="0035194D" w:rsidP="00F677D3">
      <w:pPr>
        <w:rPr>
          <w:lang w:eastAsia="en-GB"/>
        </w:rPr>
      </w:pPr>
    </w:p>
    <w:p w:rsidR="0035194D" w:rsidRPr="007B489F" w:rsidRDefault="0035194D">
      <w:pPr>
        <w:rPr>
          <w:b/>
        </w:rPr>
      </w:pPr>
      <w:r w:rsidRPr="007B489F">
        <w:rPr>
          <w:b/>
        </w:rPr>
        <w:t>Advice on preventive devices</w:t>
      </w:r>
    </w:p>
    <w:p w:rsidR="0035194D" w:rsidRPr="003E068E" w:rsidRDefault="0035194D" w:rsidP="003E068E">
      <w:pPr>
        <w:rPr>
          <w:lang w:eastAsia="en-GB"/>
        </w:rPr>
      </w:pPr>
      <w:r>
        <w:rPr>
          <w:color w:val="313131"/>
          <w:lang w:eastAsia="en-GB"/>
        </w:rPr>
        <w:t>There is in</w:t>
      </w:r>
      <w:r w:rsidRPr="003E068E">
        <w:rPr>
          <w:color w:val="313131"/>
          <w:lang w:eastAsia="en-GB"/>
        </w:rPr>
        <w:t xml:space="preserve">sufficient evidence to recommend overnight monitoring </w:t>
      </w:r>
      <w:r>
        <w:rPr>
          <w:color w:val="313131"/>
          <w:lang w:eastAsia="en-GB"/>
        </w:rPr>
        <w:t xml:space="preserve">as </w:t>
      </w:r>
      <w:r w:rsidRPr="003E068E">
        <w:rPr>
          <w:color w:val="313131"/>
          <w:lang w:eastAsia="en-GB"/>
        </w:rPr>
        <w:t xml:space="preserve">a means of preventing SUDEP. </w:t>
      </w:r>
      <w:r>
        <w:rPr>
          <w:color w:val="313131"/>
          <w:lang w:eastAsia="en-GB"/>
        </w:rPr>
        <w:t>There is a wide range of monitors available in the market. Currently, they are not available under NHS prescription.</w:t>
      </w:r>
      <w:r w:rsidRPr="00AB3AF4">
        <w:rPr>
          <w:color w:val="313131"/>
          <w:lang w:eastAsia="en-GB"/>
        </w:rPr>
        <w:t xml:space="preserve"> </w:t>
      </w:r>
      <w:r>
        <w:rPr>
          <w:color w:val="313131"/>
          <w:lang w:eastAsia="en-GB"/>
        </w:rPr>
        <w:t xml:space="preserve">Use of these monitors </w:t>
      </w:r>
      <w:r w:rsidRPr="003E068E">
        <w:rPr>
          <w:color w:val="313131"/>
          <w:lang w:eastAsia="en-GB"/>
        </w:rPr>
        <w:t xml:space="preserve">should be the </w:t>
      </w:r>
      <w:r>
        <w:rPr>
          <w:color w:val="313131"/>
          <w:lang w:eastAsia="en-GB"/>
        </w:rPr>
        <w:t>left to the choice of child, young person and their family</w:t>
      </w:r>
      <w:r w:rsidRPr="003E068E">
        <w:rPr>
          <w:color w:val="313131"/>
          <w:lang w:eastAsia="en-GB"/>
        </w:rPr>
        <w:t>.</w:t>
      </w:r>
      <w:r>
        <w:rPr>
          <w:color w:val="313131"/>
          <w:lang w:eastAsia="en-GB"/>
        </w:rPr>
        <w:t xml:space="preserve"> Parents should be made aware of </w:t>
      </w:r>
      <w:r w:rsidRPr="003E068E">
        <w:rPr>
          <w:color w:val="313131"/>
          <w:lang w:eastAsia="en-GB"/>
        </w:rPr>
        <w:t xml:space="preserve">rate of false alarms </w:t>
      </w:r>
      <w:r>
        <w:rPr>
          <w:color w:val="313131"/>
          <w:lang w:eastAsia="en-GB"/>
        </w:rPr>
        <w:t xml:space="preserve">and </w:t>
      </w:r>
      <w:r w:rsidRPr="003E068E">
        <w:rPr>
          <w:color w:val="313131"/>
          <w:lang w:eastAsia="en-GB"/>
        </w:rPr>
        <w:t xml:space="preserve">disturbed sleep for the families </w:t>
      </w:r>
      <w:r>
        <w:rPr>
          <w:color w:val="313131"/>
          <w:lang w:eastAsia="en-GB"/>
        </w:rPr>
        <w:t xml:space="preserve">may be </w:t>
      </w:r>
      <w:r w:rsidRPr="003E068E">
        <w:rPr>
          <w:color w:val="313131"/>
          <w:lang w:eastAsia="en-GB"/>
        </w:rPr>
        <w:t xml:space="preserve">highly problematic. As children get older, their right and desire for privacy must also be taken </w:t>
      </w:r>
      <w:r>
        <w:rPr>
          <w:color w:val="313131"/>
          <w:lang w:eastAsia="en-GB"/>
        </w:rPr>
        <w:t xml:space="preserve">into consideration. </w:t>
      </w:r>
    </w:p>
    <w:p w:rsidR="0035194D" w:rsidRDefault="0035194D"/>
    <w:p w:rsidR="0035194D" w:rsidRDefault="0035194D" w:rsidP="00012D10">
      <w:pPr>
        <w:rPr>
          <w:b/>
          <w:lang w:eastAsia="en-GB"/>
        </w:rPr>
      </w:pPr>
      <w:r w:rsidRPr="007C230E">
        <w:rPr>
          <w:b/>
          <w:lang w:eastAsia="en-GB"/>
        </w:rPr>
        <w:t>Support for families after SUDEP</w:t>
      </w:r>
    </w:p>
    <w:p w:rsidR="0035194D" w:rsidRPr="00AD5DAA" w:rsidRDefault="0035194D" w:rsidP="00012D10">
      <w:pPr>
        <w:rPr>
          <w:lang w:eastAsia="en-GB"/>
        </w:rPr>
      </w:pPr>
      <w:r w:rsidRPr="00AD5DAA">
        <w:rPr>
          <w:lang w:eastAsia="en-GB"/>
        </w:rPr>
        <w:t>NICE guidance states that “Where families and/or carers have been affected by SUDEP, health care professionals should contact families and/or carers to offer their condolences, i</w:t>
      </w:r>
      <w:r>
        <w:rPr>
          <w:lang w:eastAsia="en-GB"/>
        </w:rPr>
        <w:t>nvite them to discuss the death</w:t>
      </w:r>
      <w:r w:rsidRPr="00AD5DAA">
        <w:rPr>
          <w:lang w:eastAsia="en-GB"/>
        </w:rPr>
        <w:t>, and offer referral to bereavement counselling and a SUDEP support group.”</w:t>
      </w:r>
      <w:r w:rsidRPr="00AD5DAA">
        <w:rPr>
          <w:color w:val="0E0E0E"/>
          <w:shd w:val="clear" w:color="auto" w:fill="FAFAFB"/>
          <w:lang w:eastAsia="en-GB"/>
        </w:rPr>
        <w:t>⁶</w:t>
      </w:r>
    </w:p>
    <w:p w:rsidR="0035194D" w:rsidRPr="00432D5D" w:rsidRDefault="0035194D" w:rsidP="00432D5D">
      <w:pPr>
        <w:rPr>
          <w:rFonts w:ascii="Times New Roman" w:hAnsi="Times New Roman"/>
          <w:lang w:eastAsia="en-GB"/>
        </w:rPr>
      </w:pPr>
      <w:r w:rsidRPr="00DF5B5A">
        <w:rPr>
          <w:color w:val="313131"/>
          <w:lang w:eastAsia="en-GB"/>
        </w:rPr>
        <w:t xml:space="preserve">Charity </w:t>
      </w:r>
      <w:hyperlink r:id="rId7" w:tgtFrame="_blank" w:history="1">
        <w:r w:rsidRPr="00B04DD1">
          <w:rPr>
            <w:b/>
            <w:bCs/>
            <w:color w:val="000000"/>
            <w:bdr w:val="none" w:sz="0" w:space="0" w:color="auto" w:frame="1"/>
            <w:lang w:eastAsia="en-GB"/>
          </w:rPr>
          <w:t>SUDEP Action</w:t>
        </w:r>
      </w:hyperlink>
      <w:r w:rsidRPr="00B04DD1">
        <w:rPr>
          <w:b/>
          <w:bCs/>
          <w:color w:val="000000"/>
          <w:bdr w:val="none" w:sz="0" w:space="0" w:color="auto" w:frame="1"/>
          <w:lang w:eastAsia="en-GB"/>
        </w:rPr>
        <w:t>⁹</w:t>
      </w:r>
      <w:r w:rsidRPr="00B04DD1">
        <w:rPr>
          <w:color w:val="000000"/>
          <w:lang w:eastAsia="en-GB"/>
        </w:rPr>
        <w:t> </w:t>
      </w:r>
      <w:r w:rsidRPr="00DF5B5A">
        <w:rPr>
          <w:color w:val="313131"/>
          <w:lang w:eastAsia="en-GB"/>
        </w:rPr>
        <w:t>will give help in the event of a SUDEP</w:t>
      </w:r>
      <w:r>
        <w:rPr>
          <w:color w:val="313131"/>
          <w:lang w:eastAsia="en-GB"/>
        </w:rPr>
        <w:t xml:space="preserve">. Their services include </w:t>
      </w:r>
      <w:r w:rsidRPr="00432D5D">
        <w:rPr>
          <w:rFonts w:cs="Arial"/>
          <w:color w:val="444444"/>
          <w:shd w:val="clear" w:color="auto" w:fill="FFFFFF"/>
          <w:lang w:eastAsia="en-GB"/>
        </w:rPr>
        <w:t xml:space="preserve">bereavement support, counselling, help with understanding the inquest process and in collaboration with </w:t>
      </w:r>
      <w:smartTag w:uri="urn:schemas-microsoft-com:office:smarttags" w:element="country-region">
        <w:smartTag w:uri="urn:schemas-microsoft-com:office:smarttags" w:element="place">
          <w:r w:rsidRPr="00432D5D">
            <w:rPr>
              <w:rFonts w:cs="Arial"/>
              <w:color w:val="444444"/>
              <w:shd w:val="clear" w:color="auto" w:fill="FFFFFF"/>
              <w:lang w:eastAsia="en-GB"/>
            </w:rPr>
            <w:t>UK</w:t>
          </w:r>
        </w:smartTag>
      </w:smartTag>
      <w:r w:rsidRPr="00432D5D">
        <w:rPr>
          <w:rFonts w:cs="Arial"/>
          <w:color w:val="444444"/>
          <w:shd w:val="clear" w:color="auto" w:fill="FFFFFF"/>
          <w:lang w:eastAsia="en-GB"/>
        </w:rPr>
        <w:t xml:space="preserve"> research teams, the involvement of bereaved families and professionals in research through the Epilepsy Deaths Registe</w:t>
      </w:r>
      <w:r>
        <w:rPr>
          <w:rFonts w:cs="Arial"/>
          <w:color w:val="444444"/>
          <w:shd w:val="clear" w:color="auto" w:fill="FFFFFF"/>
          <w:lang w:eastAsia="en-GB"/>
        </w:rPr>
        <w:t xml:space="preserve">r. Families can be directed to the website and provide the contact number of </w:t>
      </w:r>
      <w:r w:rsidRPr="00432D5D">
        <w:rPr>
          <w:rFonts w:cs="Arial"/>
          <w:color w:val="444444"/>
          <w:shd w:val="clear" w:color="auto" w:fill="FFFFFF"/>
          <w:lang w:eastAsia="en-GB"/>
        </w:rPr>
        <w:t>support team (01235 772852)</w:t>
      </w:r>
    </w:p>
    <w:p w:rsidR="0035194D" w:rsidRPr="00432D5D" w:rsidRDefault="0035194D" w:rsidP="00432D5D">
      <w:pPr>
        <w:rPr>
          <w:lang w:eastAsia="en-GB"/>
        </w:rPr>
      </w:pPr>
    </w:p>
    <w:p w:rsidR="0035194D" w:rsidRPr="00DF5B5A" w:rsidRDefault="0035194D" w:rsidP="00DF5B5A">
      <w:pPr>
        <w:rPr>
          <w:rFonts w:ascii="Times New Roman" w:hAnsi="Times New Roman"/>
          <w:lang w:eastAsia="en-GB"/>
        </w:rPr>
      </w:pPr>
    </w:p>
    <w:p w:rsidR="0035194D" w:rsidRPr="006118FD" w:rsidRDefault="0035194D">
      <w:pPr>
        <w:rPr>
          <w:b/>
        </w:rPr>
      </w:pPr>
      <w:r w:rsidRPr="006118FD">
        <w:rPr>
          <w:b/>
        </w:rPr>
        <w:t>References:</w:t>
      </w:r>
    </w:p>
    <w:p w:rsidR="0035194D" w:rsidRDefault="0035194D" w:rsidP="00C97CCA">
      <w:pPr>
        <w:pStyle w:val="ListParagraph"/>
        <w:numPr>
          <w:ilvl w:val="0"/>
          <w:numId w:val="1"/>
        </w:numPr>
      </w:pPr>
      <w:r w:rsidRPr="00C97CCA">
        <w:t>Nashef, L; So</w:t>
      </w:r>
      <w:r>
        <w:t>, EL; Ryvlin, P; Tomson, T (</w:t>
      </w:r>
      <w:r w:rsidRPr="00C97CCA">
        <w:t>2012). "Unifying the definitions of sudden</w:t>
      </w:r>
      <w:r>
        <w:t xml:space="preserve"> unexpected death in epilepsy."</w:t>
      </w:r>
      <w:r w:rsidRPr="00C97CCA">
        <w:t xml:space="preserve"> </w:t>
      </w:r>
      <w:r w:rsidRPr="00B122B0">
        <w:rPr>
          <w:i/>
        </w:rPr>
        <w:t>Epilepsia</w:t>
      </w:r>
      <w:r w:rsidRPr="00C97CCA">
        <w:t>. 53 (2): 227–33. PMID 22191982. doi:10.1111/j.1528-1167.2011.03358.x</w:t>
      </w:r>
    </w:p>
    <w:p w:rsidR="0035194D" w:rsidRDefault="0035194D" w:rsidP="00982B51">
      <w:pPr>
        <w:pStyle w:val="ListParagraph"/>
        <w:numPr>
          <w:ilvl w:val="0"/>
          <w:numId w:val="1"/>
        </w:numPr>
      </w:pPr>
      <w:r w:rsidRPr="0006678E">
        <w:t>Harden, C</w:t>
      </w:r>
      <w:r>
        <w:t>.,</w:t>
      </w:r>
      <w:r w:rsidRPr="0006678E">
        <w:t xml:space="preserve"> Tomson, T</w:t>
      </w:r>
      <w:r>
        <w:t xml:space="preserve">., </w:t>
      </w:r>
      <w:r w:rsidRPr="0006678E">
        <w:t>Gloss, D</w:t>
      </w:r>
      <w:r>
        <w:t xml:space="preserve">., </w:t>
      </w:r>
      <w:r w:rsidRPr="0006678E">
        <w:t>Buchhalter, J</w:t>
      </w:r>
      <w:r>
        <w:t xml:space="preserve">., </w:t>
      </w:r>
      <w:r w:rsidRPr="0006678E">
        <w:t>Cross,</w:t>
      </w:r>
      <w:r>
        <w:t xml:space="preserve"> </w:t>
      </w:r>
      <w:r w:rsidRPr="0006678E">
        <w:t>J</w:t>
      </w:r>
      <w:r>
        <w:t xml:space="preserve">. H., Donner, </w:t>
      </w:r>
      <w:r w:rsidRPr="0006678E">
        <w:t>E</w:t>
      </w:r>
      <w:r>
        <w:t xml:space="preserve">., </w:t>
      </w:r>
      <w:r w:rsidRPr="0006678E">
        <w:t>French, J</w:t>
      </w:r>
      <w:r>
        <w:t xml:space="preserve">., </w:t>
      </w:r>
      <w:r w:rsidRPr="0006678E">
        <w:t xml:space="preserve"> Gil-Nagel, A</w:t>
      </w:r>
      <w:r>
        <w:t xml:space="preserve">., Hesdorffer, </w:t>
      </w:r>
      <w:r w:rsidRPr="0006678E">
        <w:t>D</w:t>
      </w:r>
      <w:r>
        <w:t xml:space="preserve">. C ., </w:t>
      </w:r>
      <w:r w:rsidRPr="0006678E">
        <w:t>Smithson, H</w:t>
      </w:r>
      <w:r>
        <w:t xml:space="preserve">., </w:t>
      </w:r>
      <w:r w:rsidRPr="0006678E">
        <w:t>Spitz,</w:t>
      </w:r>
      <w:r>
        <w:t xml:space="preserve"> C. M., </w:t>
      </w:r>
      <w:r w:rsidRPr="0006678E">
        <w:t>Walczak,</w:t>
      </w:r>
      <w:r>
        <w:t xml:space="preserve">S. </w:t>
      </w:r>
      <w:r w:rsidRPr="0006678E">
        <w:t>T</w:t>
      </w:r>
      <w:r>
        <w:t xml:space="preserve">., </w:t>
      </w:r>
      <w:r w:rsidRPr="0006678E">
        <w:t>Sander, L</w:t>
      </w:r>
      <w:r>
        <w:t>.,</w:t>
      </w:r>
      <w:r w:rsidRPr="0006678E">
        <w:t xml:space="preserve"> </w:t>
      </w:r>
      <w:r>
        <w:t xml:space="preserve">and </w:t>
      </w:r>
      <w:r w:rsidRPr="0006678E">
        <w:t xml:space="preserve">Ryvlin, P. (2017). Practice Guideline Summary: Sudden Unexpected Death in Epilepsy Incidence Rates and Risk Factors: Report of the Guideline Development, Dissemination, and Implementation Subcommittee of the American Academy of Neurology and the American Epilepsy Society. </w:t>
      </w:r>
      <w:r w:rsidRPr="00C0346D">
        <w:rPr>
          <w:i/>
        </w:rPr>
        <w:t>Epilepsy Currents</w:t>
      </w:r>
      <w:r w:rsidRPr="0006678E">
        <w:t>. 17. 180-187. 10.5698/1535-7511.17.3.180.</w:t>
      </w:r>
    </w:p>
    <w:p w:rsidR="0035194D" w:rsidRDefault="0035194D" w:rsidP="0087159A">
      <w:pPr>
        <w:pStyle w:val="ListParagraph"/>
        <w:numPr>
          <w:ilvl w:val="0"/>
          <w:numId w:val="1"/>
        </w:numPr>
      </w:pPr>
      <w:r w:rsidRPr="0087159A">
        <w:t>N</w:t>
      </w:r>
      <w:r>
        <w:t>esbitt</w:t>
      </w:r>
      <w:r w:rsidRPr="0087159A">
        <w:t>, V., K</w:t>
      </w:r>
      <w:r>
        <w:t>irkpatrick</w:t>
      </w:r>
      <w:r w:rsidRPr="0087159A">
        <w:t>, M., P</w:t>
      </w:r>
      <w:r>
        <w:t>earson</w:t>
      </w:r>
      <w:r w:rsidRPr="0087159A">
        <w:t>, G., C</w:t>
      </w:r>
      <w:r>
        <w:t>olver</w:t>
      </w:r>
      <w:r w:rsidRPr="0087159A">
        <w:t>, A. and F</w:t>
      </w:r>
      <w:r>
        <w:t>orsyth</w:t>
      </w:r>
      <w:r w:rsidRPr="0087159A">
        <w:t xml:space="preserve">, R. (2012), Risk and causes of death in children with a seizure disorder. </w:t>
      </w:r>
      <w:r w:rsidRPr="00C0346D">
        <w:rPr>
          <w:i/>
        </w:rPr>
        <w:t>Developmental Medicine &amp; Child Neurology</w:t>
      </w:r>
      <w:r w:rsidRPr="0087159A">
        <w:t>, 54: 612–617. doi:10.1111/j.1469-8749.2012.04295.x</w:t>
      </w:r>
    </w:p>
    <w:p w:rsidR="0035194D" w:rsidRDefault="0035194D" w:rsidP="004458B8">
      <w:pPr>
        <w:pStyle w:val="ListParagraph"/>
        <w:numPr>
          <w:ilvl w:val="0"/>
          <w:numId w:val="1"/>
        </w:numPr>
      </w:pPr>
      <w:r>
        <w:t xml:space="preserve">Young Epilepsy website: </w:t>
      </w:r>
      <w:r w:rsidRPr="004458B8">
        <w:t>http://www.youngepilepsy.org.uk/about-epilepsy/living-with-epilepsy/sudep.html</w:t>
      </w:r>
    </w:p>
    <w:p w:rsidR="0035194D" w:rsidRDefault="0035194D" w:rsidP="00200946">
      <w:pPr>
        <w:pStyle w:val="ListParagraph"/>
        <w:numPr>
          <w:ilvl w:val="0"/>
          <w:numId w:val="1"/>
        </w:numPr>
      </w:pPr>
      <w:r w:rsidRPr="00200946">
        <w:t xml:space="preserve">Cross JH. SUDEP and children: implications for clinical practice. In: Hanna J, Panelli R, Jeffs T, Chapman D, editors. Continuing the global conversation [online]. SUDEP Action, SUDEP Aware &amp; Epilepsy Australia; 2014 [retrieved 20thAugust, 2017]. Available from: </w:t>
      </w:r>
      <w:hyperlink r:id="rId8" w:history="1">
        <w:r w:rsidRPr="00537BCA">
          <w:rPr>
            <w:rStyle w:val="Hyperlink"/>
          </w:rPr>
          <w:t>www.sudepglobalconversation.com</w:t>
        </w:r>
      </w:hyperlink>
    </w:p>
    <w:p w:rsidR="0035194D" w:rsidRDefault="0035194D" w:rsidP="00200946">
      <w:pPr>
        <w:pStyle w:val="ListParagraph"/>
        <w:numPr>
          <w:ilvl w:val="0"/>
          <w:numId w:val="1"/>
        </w:numPr>
      </w:pPr>
      <w:r w:rsidRPr="00200946">
        <w:t>Epilepsy NICE guidance –CG137, 2015 update</w:t>
      </w:r>
    </w:p>
    <w:p w:rsidR="0035194D" w:rsidRDefault="0035194D" w:rsidP="00200946">
      <w:pPr>
        <w:pStyle w:val="ListParagraph"/>
        <w:numPr>
          <w:ilvl w:val="0"/>
          <w:numId w:val="1"/>
        </w:numPr>
      </w:pPr>
      <w:r w:rsidRPr="00200946">
        <w:t xml:space="preserve">Irwin, K. Guidelines for Emergency Management of Seizures in Children. Downloaded on May 25, 2017 from  </w:t>
      </w:r>
      <w:hyperlink r:id="rId9" w:history="1">
        <w:r w:rsidRPr="00537BCA">
          <w:rPr>
            <w:rStyle w:val="Hyperlink"/>
          </w:rPr>
          <w:t>http://www.asph.mobi/Guidelines_Paediatrics/SUDEP.pdf</w:t>
        </w:r>
      </w:hyperlink>
    </w:p>
    <w:p w:rsidR="0035194D" w:rsidRDefault="0035194D" w:rsidP="004458B8">
      <w:pPr>
        <w:pStyle w:val="ListParagraph"/>
        <w:numPr>
          <w:ilvl w:val="0"/>
          <w:numId w:val="1"/>
        </w:numPr>
      </w:pPr>
      <w:r w:rsidRPr="004458B8">
        <w:t>Patient information leaflet on SUDEP from Young Epilepsy website. Downloaded on May 26, 2017 from http://www.youngepilepsy.org.uk/about-epilepsy/living-with-epilepsy/sudep.html</w:t>
      </w:r>
    </w:p>
    <w:p w:rsidR="0035194D" w:rsidRPr="0031736F" w:rsidRDefault="0035194D" w:rsidP="0031736F">
      <w:pPr>
        <w:pStyle w:val="ListParagraph"/>
        <w:numPr>
          <w:ilvl w:val="0"/>
          <w:numId w:val="1"/>
        </w:numPr>
      </w:pPr>
      <w:r>
        <w:t xml:space="preserve">SUDEP Action website: </w:t>
      </w:r>
      <w:hyperlink r:id="rId10" w:history="1">
        <w:r w:rsidRPr="0031736F">
          <w:rPr>
            <w:rStyle w:val="Hyperlink"/>
            <w:lang w:val="en-US"/>
          </w:rPr>
          <w:t>www.sudep.org</w:t>
        </w:r>
      </w:hyperlink>
    </w:p>
    <w:p w:rsidR="0035194D" w:rsidRDefault="0035194D"/>
    <w:p w:rsidR="0035194D" w:rsidRDefault="0035194D">
      <w:r>
        <w:tab/>
      </w:r>
    </w:p>
    <w:p w:rsidR="0035194D" w:rsidRDefault="0035194D" w:rsidP="008F6831">
      <w:pPr>
        <w:autoSpaceDE w:val="0"/>
        <w:autoSpaceDN w:val="0"/>
        <w:adjustRightInd w:val="0"/>
        <w:rPr>
          <w:rFonts w:ascii="Arial" w:hAnsi="Arial" w:cs="Arial"/>
          <w:lang w:val="en-US"/>
        </w:rPr>
      </w:pPr>
    </w:p>
    <w:p w:rsidR="0035194D" w:rsidRDefault="0035194D" w:rsidP="008F6831">
      <w:pPr>
        <w:autoSpaceDE w:val="0"/>
        <w:autoSpaceDN w:val="0"/>
        <w:adjustRightInd w:val="0"/>
        <w:rPr>
          <w:rFonts w:ascii="Arial" w:hAnsi="Arial" w:cs="Arial"/>
          <w:lang w:val="en-US"/>
        </w:rPr>
      </w:pPr>
    </w:p>
    <w:p w:rsidR="0035194D" w:rsidRDefault="0035194D" w:rsidP="008F6831">
      <w:pPr>
        <w:autoSpaceDE w:val="0"/>
        <w:autoSpaceDN w:val="0"/>
        <w:adjustRightInd w:val="0"/>
        <w:rPr>
          <w:rFonts w:ascii="Arial" w:hAnsi="Arial" w:cs="Arial"/>
          <w:lang w:val="en-US"/>
        </w:rPr>
      </w:pPr>
    </w:p>
    <w:p w:rsidR="0035194D" w:rsidRDefault="0035194D" w:rsidP="008F6831">
      <w:pPr>
        <w:autoSpaceDE w:val="0"/>
        <w:autoSpaceDN w:val="0"/>
        <w:adjustRightInd w:val="0"/>
        <w:rPr>
          <w:rFonts w:ascii="Arial" w:hAnsi="Arial" w:cs="Arial"/>
          <w:lang w:val="en-US"/>
        </w:rPr>
      </w:pPr>
    </w:p>
    <w:p w:rsidR="0035194D" w:rsidRDefault="0035194D" w:rsidP="008F6831">
      <w:pPr>
        <w:autoSpaceDE w:val="0"/>
        <w:autoSpaceDN w:val="0"/>
        <w:adjustRightInd w:val="0"/>
        <w:rPr>
          <w:rFonts w:ascii="Arial" w:hAnsi="Arial" w:cs="Arial"/>
          <w:lang w:val="en-US"/>
        </w:rPr>
      </w:pPr>
    </w:p>
    <w:p w:rsidR="0035194D" w:rsidRDefault="0035194D" w:rsidP="008F6831">
      <w:pPr>
        <w:autoSpaceDE w:val="0"/>
        <w:autoSpaceDN w:val="0"/>
        <w:adjustRightInd w:val="0"/>
        <w:rPr>
          <w:rFonts w:ascii="Arial" w:hAnsi="Arial" w:cs="Arial"/>
          <w:lang w:val="en-US"/>
        </w:rPr>
      </w:pPr>
    </w:p>
    <w:p w:rsidR="0035194D" w:rsidRDefault="0035194D" w:rsidP="008F6831">
      <w:pPr>
        <w:autoSpaceDE w:val="0"/>
        <w:autoSpaceDN w:val="0"/>
        <w:adjustRightInd w:val="0"/>
        <w:rPr>
          <w:rFonts w:ascii="Arial" w:hAnsi="Arial" w:cs="Arial"/>
          <w:lang w:val="en-US"/>
        </w:rPr>
      </w:pPr>
      <w:r>
        <w:rPr>
          <w:rFonts w:ascii="Arial" w:hAnsi="Arial" w:cs="Arial"/>
          <w:lang w:val="en-US"/>
        </w:rPr>
        <w:t>Date ratified: October 2017, Due for review: October 2020</w:t>
      </w:r>
    </w:p>
    <w:p w:rsidR="0035194D" w:rsidRDefault="0035194D">
      <w:r>
        <w:rPr>
          <w:rFonts w:ascii="Arial" w:hAnsi="Arial" w:cs="Arial"/>
          <w:lang w:val="en-US"/>
        </w:rPr>
        <w:t>Prepared by: Dr Tekki Rao</w:t>
      </w:r>
      <w:r>
        <w:rPr>
          <w:rFonts w:ascii="Arial" w:hAnsi="Arial" w:cs="Arial"/>
        </w:rPr>
        <w:t xml:space="preserve"> &amp;  Dr Alasdair Parker </w:t>
      </w:r>
    </w:p>
    <w:p w:rsidR="0035194D" w:rsidRDefault="0035194D"/>
    <w:p w:rsidR="0035194D" w:rsidRPr="008F6831" w:rsidRDefault="0035194D">
      <w:pPr>
        <w:rPr>
          <w:b/>
        </w:rPr>
      </w:pPr>
      <w:r w:rsidRPr="008F6831">
        <w:rPr>
          <w:b/>
        </w:rPr>
        <w:t>Appendix</w:t>
      </w:r>
    </w:p>
    <w:p w:rsidR="0035194D" w:rsidRDefault="0035194D"/>
    <w:p w:rsidR="0035194D" w:rsidRDefault="0035194D">
      <w: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pt;height:594pt" o:ole="">
            <v:imagedata r:id="rId11" o:title=""/>
          </v:shape>
          <o:OLEObject Type="Embed" ProgID="AcroExch.Document.11" ShapeID="_x0000_i1027" DrawAspect="Content" ObjectID="_1569161983" r:id="rId12"/>
        </w:object>
      </w:r>
    </w:p>
    <w:p w:rsidR="0035194D" w:rsidRDefault="0035194D"/>
    <w:sectPr w:rsidR="0035194D" w:rsidSect="008367CA">
      <w:head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4D" w:rsidRDefault="0035194D">
      <w:r>
        <w:separator/>
      </w:r>
    </w:p>
  </w:endnote>
  <w:endnote w:type="continuationSeparator" w:id="0">
    <w:p w:rsidR="0035194D" w:rsidRDefault="0035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4D" w:rsidRDefault="0035194D">
      <w:r>
        <w:separator/>
      </w:r>
    </w:p>
  </w:footnote>
  <w:footnote w:type="continuationSeparator" w:id="0">
    <w:p w:rsidR="0035194D" w:rsidRDefault="0035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4D" w:rsidRDefault="0035194D" w:rsidP="00AD5DAA">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49.5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B4D47"/>
    <w:multiLevelType w:val="hybridMultilevel"/>
    <w:tmpl w:val="A05C7F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5A0543DA"/>
    <w:multiLevelType w:val="hybridMultilevel"/>
    <w:tmpl w:val="98E04C8A"/>
    <w:lvl w:ilvl="0" w:tplc="C3BA4CB2">
      <w:start w:val="1"/>
      <w:numFmt w:val="bullet"/>
      <w:lvlText w:val="•"/>
      <w:lvlJc w:val="left"/>
      <w:pPr>
        <w:tabs>
          <w:tab w:val="num" w:pos="720"/>
        </w:tabs>
        <w:ind w:left="720" w:hanging="360"/>
      </w:pPr>
      <w:rPr>
        <w:rFonts w:ascii="Arial" w:hAnsi="Arial" w:hint="default"/>
      </w:rPr>
    </w:lvl>
    <w:lvl w:ilvl="1" w:tplc="D18C9DDA">
      <w:numFmt w:val="bullet"/>
      <w:lvlText w:val="–"/>
      <w:lvlJc w:val="left"/>
      <w:pPr>
        <w:tabs>
          <w:tab w:val="num" w:pos="1440"/>
        </w:tabs>
        <w:ind w:left="1440" w:hanging="360"/>
      </w:pPr>
      <w:rPr>
        <w:rFonts w:ascii="Arial" w:hAnsi="Arial" w:hint="default"/>
      </w:rPr>
    </w:lvl>
    <w:lvl w:ilvl="2" w:tplc="510EECBC" w:tentative="1">
      <w:start w:val="1"/>
      <w:numFmt w:val="bullet"/>
      <w:lvlText w:val="•"/>
      <w:lvlJc w:val="left"/>
      <w:pPr>
        <w:tabs>
          <w:tab w:val="num" w:pos="2160"/>
        </w:tabs>
        <w:ind w:left="2160" w:hanging="360"/>
      </w:pPr>
      <w:rPr>
        <w:rFonts w:ascii="Arial" w:hAnsi="Arial" w:hint="default"/>
      </w:rPr>
    </w:lvl>
    <w:lvl w:ilvl="3" w:tplc="91CCD978" w:tentative="1">
      <w:start w:val="1"/>
      <w:numFmt w:val="bullet"/>
      <w:lvlText w:val="•"/>
      <w:lvlJc w:val="left"/>
      <w:pPr>
        <w:tabs>
          <w:tab w:val="num" w:pos="2880"/>
        </w:tabs>
        <w:ind w:left="2880" w:hanging="360"/>
      </w:pPr>
      <w:rPr>
        <w:rFonts w:ascii="Arial" w:hAnsi="Arial" w:hint="default"/>
      </w:rPr>
    </w:lvl>
    <w:lvl w:ilvl="4" w:tplc="74788B0C" w:tentative="1">
      <w:start w:val="1"/>
      <w:numFmt w:val="bullet"/>
      <w:lvlText w:val="•"/>
      <w:lvlJc w:val="left"/>
      <w:pPr>
        <w:tabs>
          <w:tab w:val="num" w:pos="3600"/>
        </w:tabs>
        <w:ind w:left="3600" w:hanging="360"/>
      </w:pPr>
      <w:rPr>
        <w:rFonts w:ascii="Arial" w:hAnsi="Arial" w:hint="default"/>
      </w:rPr>
    </w:lvl>
    <w:lvl w:ilvl="5" w:tplc="E74AAB10" w:tentative="1">
      <w:start w:val="1"/>
      <w:numFmt w:val="bullet"/>
      <w:lvlText w:val="•"/>
      <w:lvlJc w:val="left"/>
      <w:pPr>
        <w:tabs>
          <w:tab w:val="num" w:pos="4320"/>
        </w:tabs>
        <w:ind w:left="4320" w:hanging="360"/>
      </w:pPr>
      <w:rPr>
        <w:rFonts w:ascii="Arial" w:hAnsi="Arial" w:hint="default"/>
      </w:rPr>
    </w:lvl>
    <w:lvl w:ilvl="6" w:tplc="09A2F636" w:tentative="1">
      <w:start w:val="1"/>
      <w:numFmt w:val="bullet"/>
      <w:lvlText w:val="•"/>
      <w:lvlJc w:val="left"/>
      <w:pPr>
        <w:tabs>
          <w:tab w:val="num" w:pos="5040"/>
        </w:tabs>
        <w:ind w:left="5040" w:hanging="360"/>
      </w:pPr>
      <w:rPr>
        <w:rFonts w:ascii="Arial" w:hAnsi="Arial" w:hint="default"/>
      </w:rPr>
    </w:lvl>
    <w:lvl w:ilvl="7" w:tplc="234699C4" w:tentative="1">
      <w:start w:val="1"/>
      <w:numFmt w:val="bullet"/>
      <w:lvlText w:val="•"/>
      <w:lvlJc w:val="left"/>
      <w:pPr>
        <w:tabs>
          <w:tab w:val="num" w:pos="5760"/>
        </w:tabs>
        <w:ind w:left="5760" w:hanging="360"/>
      </w:pPr>
      <w:rPr>
        <w:rFonts w:ascii="Arial" w:hAnsi="Arial" w:hint="default"/>
      </w:rPr>
    </w:lvl>
    <w:lvl w:ilvl="8" w:tplc="5BBA5542" w:tentative="1">
      <w:start w:val="1"/>
      <w:numFmt w:val="bullet"/>
      <w:lvlText w:val="•"/>
      <w:lvlJc w:val="left"/>
      <w:pPr>
        <w:tabs>
          <w:tab w:val="num" w:pos="6480"/>
        </w:tabs>
        <w:ind w:left="6480" w:hanging="360"/>
      </w:pPr>
      <w:rPr>
        <w:rFonts w:ascii="Arial" w:hAnsi="Arial" w:hint="default"/>
      </w:rPr>
    </w:lvl>
  </w:abstractNum>
  <w:abstractNum w:abstractNumId="2">
    <w:nsid w:val="723C3F29"/>
    <w:multiLevelType w:val="hybridMultilevel"/>
    <w:tmpl w:val="7E809B84"/>
    <w:lvl w:ilvl="0" w:tplc="C0F278F6">
      <w:start w:val="1"/>
      <w:numFmt w:val="bullet"/>
      <w:lvlText w:val="•"/>
      <w:lvlJc w:val="left"/>
      <w:pPr>
        <w:tabs>
          <w:tab w:val="num" w:pos="720"/>
        </w:tabs>
        <w:ind w:left="720" w:hanging="360"/>
      </w:pPr>
      <w:rPr>
        <w:rFonts w:ascii="Arial" w:hAnsi="Arial" w:hint="default"/>
      </w:rPr>
    </w:lvl>
    <w:lvl w:ilvl="1" w:tplc="D44C220C" w:tentative="1">
      <w:start w:val="1"/>
      <w:numFmt w:val="bullet"/>
      <w:lvlText w:val="•"/>
      <w:lvlJc w:val="left"/>
      <w:pPr>
        <w:tabs>
          <w:tab w:val="num" w:pos="1440"/>
        </w:tabs>
        <w:ind w:left="1440" w:hanging="360"/>
      </w:pPr>
      <w:rPr>
        <w:rFonts w:ascii="Arial" w:hAnsi="Arial" w:hint="default"/>
      </w:rPr>
    </w:lvl>
    <w:lvl w:ilvl="2" w:tplc="AFA4BB30" w:tentative="1">
      <w:start w:val="1"/>
      <w:numFmt w:val="bullet"/>
      <w:lvlText w:val="•"/>
      <w:lvlJc w:val="left"/>
      <w:pPr>
        <w:tabs>
          <w:tab w:val="num" w:pos="2160"/>
        </w:tabs>
        <w:ind w:left="2160" w:hanging="360"/>
      </w:pPr>
      <w:rPr>
        <w:rFonts w:ascii="Arial" w:hAnsi="Arial" w:hint="default"/>
      </w:rPr>
    </w:lvl>
    <w:lvl w:ilvl="3" w:tplc="A836B850" w:tentative="1">
      <w:start w:val="1"/>
      <w:numFmt w:val="bullet"/>
      <w:lvlText w:val="•"/>
      <w:lvlJc w:val="left"/>
      <w:pPr>
        <w:tabs>
          <w:tab w:val="num" w:pos="2880"/>
        </w:tabs>
        <w:ind w:left="2880" w:hanging="360"/>
      </w:pPr>
      <w:rPr>
        <w:rFonts w:ascii="Arial" w:hAnsi="Arial" w:hint="default"/>
      </w:rPr>
    </w:lvl>
    <w:lvl w:ilvl="4" w:tplc="4B987422" w:tentative="1">
      <w:start w:val="1"/>
      <w:numFmt w:val="bullet"/>
      <w:lvlText w:val="•"/>
      <w:lvlJc w:val="left"/>
      <w:pPr>
        <w:tabs>
          <w:tab w:val="num" w:pos="3600"/>
        </w:tabs>
        <w:ind w:left="3600" w:hanging="360"/>
      </w:pPr>
      <w:rPr>
        <w:rFonts w:ascii="Arial" w:hAnsi="Arial" w:hint="default"/>
      </w:rPr>
    </w:lvl>
    <w:lvl w:ilvl="5" w:tplc="B1A8011A" w:tentative="1">
      <w:start w:val="1"/>
      <w:numFmt w:val="bullet"/>
      <w:lvlText w:val="•"/>
      <w:lvlJc w:val="left"/>
      <w:pPr>
        <w:tabs>
          <w:tab w:val="num" w:pos="4320"/>
        </w:tabs>
        <w:ind w:left="4320" w:hanging="360"/>
      </w:pPr>
      <w:rPr>
        <w:rFonts w:ascii="Arial" w:hAnsi="Arial" w:hint="default"/>
      </w:rPr>
    </w:lvl>
    <w:lvl w:ilvl="6" w:tplc="C4707152" w:tentative="1">
      <w:start w:val="1"/>
      <w:numFmt w:val="bullet"/>
      <w:lvlText w:val="•"/>
      <w:lvlJc w:val="left"/>
      <w:pPr>
        <w:tabs>
          <w:tab w:val="num" w:pos="5040"/>
        </w:tabs>
        <w:ind w:left="5040" w:hanging="360"/>
      </w:pPr>
      <w:rPr>
        <w:rFonts w:ascii="Arial" w:hAnsi="Arial" w:hint="default"/>
      </w:rPr>
    </w:lvl>
    <w:lvl w:ilvl="7" w:tplc="E4288B46" w:tentative="1">
      <w:start w:val="1"/>
      <w:numFmt w:val="bullet"/>
      <w:lvlText w:val="•"/>
      <w:lvlJc w:val="left"/>
      <w:pPr>
        <w:tabs>
          <w:tab w:val="num" w:pos="5760"/>
        </w:tabs>
        <w:ind w:left="5760" w:hanging="360"/>
      </w:pPr>
      <w:rPr>
        <w:rFonts w:ascii="Arial" w:hAnsi="Arial" w:hint="default"/>
      </w:rPr>
    </w:lvl>
    <w:lvl w:ilvl="8" w:tplc="8D2692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305"/>
    <w:rsid w:val="00006284"/>
    <w:rsid w:val="00012D10"/>
    <w:rsid w:val="00030FD1"/>
    <w:rsid w:val="0006678E"/>
    <w:rsid w:val="0008109D"/>
    <w:rsid w:val="00093B6A"/>
    <w:rsid w:val="000A0667"/>
    <w:rsid w:val="000E0629"/>
    <w:rsid w:val="001211E9"/>
    <w:rsid w:val="00136A7E"/>
    <w:rsid w:val="00144216"/>
    <w:rsid w:val="0015488F"/>
    <w:rsid w:val="00175B46"/>
    <w:rsid w:val="00182C5C"/>
    <w:rsid w:val="00190E02"/>
    <w:rsid w:val="0019415E"/>
    <w:rsid w:val="001960FD"/>
    <w:rsid w:val="001E581E"/>
    <w:rsid w:val="00200946"/>
    <w:rsid w:val="0024318D"/>
    <w:rsid w:val="0029482D"/>
    <w:rsid w:val="002A41D1"/>
    <w:rsid w:val="002C2524"/>
    <w:rsid w:val="002E6000"/>
    <w:rsid w:val="002F37AF"/>
    <w:rsid w:val="002F5B9C"/>
    <w:rsid w:val="003105BD"/>
    <w:rsid w:val="0031736F"/>
    <w:rsid w:val="00321FB6"/>
    <w:rsid w:val="00340485"/>
    <w:rsid w:val="00350290"/>
    <w:rsid w:val="0035194D"/>
    <w:rsid w:val="00374D5B"/>
    <w:rsid w:val="0039418E"/>
    <w:rsid w:val="003943D0"/>
    <w:rsid w:val="00397F78"/>
    <w:rsid w:val="003E068E"/>
    <w:rsid w:val="003E59DE"/>
    <w:rsid w:val="003F1A5C"/>
    <w:rsid w:val="003F7716"/>
    <w:rsid w:val="004210C9"/>
    <w:rsid w:val="00432D5D"/>
    <w:rsid w:val="00444160"/>
    <w:rsid w:val="004449F2"/>
    <w:rsid w:val="004458B8"/>
    <w:rsid w:val="00486C15"/>
    <w:rsid w:val="004D7E4A"/>
    <w:rsid w:val="005070F5"/>
    <w:rsid w:val="0050719D"/>
    <w:rsid w:val="0052714F"/>
    <w:rsid w:val="00537BCA"/>
    <w:rsid w:val="005D43AE"/>
    <w:rsid w:val="005E0E3A"/>
    <w:rsid w:val="006118FD"/>
    <w:rsid w:val="006D0AE9"/>
    <w:rsid w:val="006F4D8F"/>
    <w:rsid w:val="00703CAD"/>
    <w:rsid w:val="00744B79"/>
    <w:rsid w:val="00746526"/>
    <w:rsid w:val="007B489F"/>
    <w:rsid w:val="007B4E13"/>
    <w:rsid w:val="007C230E"/>
    <w:rsid w:val="007D17CD"/>
    <w:rsid w:val="007E44C9"/>
    <w:rsid w:val="008027E7"/>
    <w:rsid w:val="0083522C"/>
    <w:rsid w:val="008367CA"/>
    <w:rsid w:val="0086011D"/>
    <w:rsid w:val="008614B1"/>
    <w:rsid w:val="00866570"/>
    <w:rsid w:val="0087159A"/>
    <w:rsid w:val="008B7F58"/>
    <w:rsid w:val="008F6831"/>
    <w:rsid w:val="00911B40"/>
    <w:rsid w:val="00963A6B"/>
    <w:rsid w:val="00982B51"/>
    <w:rsid w:val="00983CB2"/>
    <w:rsid w:val="00991944"/>
    <w:rsid w:val="009B27F7"/>
    <w:rsid w:val="00A01C7E"/>
    <w:rsid w:val="00A1187C"/>
    <w:rsid w:val="00A31B60"/>
    <w:rsid w:val="00AB3AF4"/>
    <w:rsid w:val="00AD3497"/>
    <w:rsid w:val="00AD5DAA"/>
    <w:rsid w:val="00B04DD1"/>
    <w:rsid w:val="00B122B0"/>
    <w:rsid w:val="00B84D9B"/>
    <w:rsid w:val="00B93B54"/>
    <w:rsid w:val="00BC622F"/>
    <w:rsid w:val="00BD5D46"/>
    <w:rsid w:val="00C0346D"/>
    <w:rsid w:val="00C0602F"/>
    <w:rsid w:val="00C41448"/>
    <w:rsid w:val="00C50C21"/>
    <w:rsid w:val="00C57743"/>
    <w:rsid w:val="00C91547"/>
    <w:rsid w:val="00C946E7"/>
    <w:rsid w:val="00C97CCA"/>
    <w:rsid w:val="00CC15B9"/>
    <w:rsid w:val="00CC2B4E"/>
    <w:rsid w:val="00CF356D"/>
    <w:rsid w:val="00D205C9"/>
    <w:rsid w:val="00D24C9D"/>
    <w:rsid w:val="00D7531E"/>
    <w:rsid w:val="00DE0F6E"/>
    <w:rsid w:val="00DF5B5A"/>
    <w:rsid w:val="00E20A81"/>
    <w:rsid w:val="00E23D49"/>
    <w:rsid w:val="00E25697"/>
    <w:rsid w:val="00E25E11"/>
    <w:rsid w:val="00E9729C"/>
    <w:rsid w:val="00ED2C6F"/>
    <w:rsid w:val="00F103E7"/>
    <w:rsid w:val="00F27305"/>
    <w:rsid w:val="00F677D3"/>
    <w:rsid w:val="00F82935"/>
    <w:rsid w:val="00FA2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E9"/>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2F37AF"/>
    <w:rPr>
      <w:rFonts w:ascii="Helvetica" w:hAnsi="Helvetica"/>
      <w:sz w:val="21"/>
      <w:szCs w:val="21"/>
      <w:lang w:eastAsia="en-GB"/>
    </w:rPr>
  </w:style>
  <w:style w:type="paragraph" w:styleId="ListParagraph">
    <w:name w:val="List Paragraph"/>
    <w:basedOn w:val="Normal"/>
    <w:uiPriority w:val="99"/>
    <w:qFormat/>
    <w:rsid w:val="00982B51"/>
    <w:pPr>
      <w:ind w:left="720"/>
      <w:contextualSpacing/>
    </w:pPr>
  </w:style>
  <w:style w:type="character" w:styleId="Hyperlink">
    <w:name w:val="Hyperlink"/>
    <w:basedOn w:val="DefaultParagraphFont"/>
    <w:uiPriority w:val="99"/>
    <w:rsid w:val="00982B51"/>
    <w:rPr>
      <w:rFonts w:cs="Times New Roman"/>
      <w:color w:val="0563C1"/>
      <w:u w:val="single"/>
    </w:rPr>
  </w:style>
  <w:style w:type="character" w:customStyle="1" w:styleId="apple-converted-space">
    <w:name w:val="apple-converted-space"/>
    <w:uiPriority w:val="99"/>
    <w:rsid w:val="0031736F"/>
  </w:style>
  <w:style w:type="character" w:customStyle="1" w:styleId="s1">
    <w:name w:val="s1"/>
    <w:uiPriority w:val="99"/>
    <w:rsid w:val="002C2524"/>
  </w:style>
  <w:style w:type="paragraph" w:customStyle="1" w:styleId="p5">
    <w:name w:val="p5"/>
    <w:basedOn w:val="Normal"/>
    <w:uiPriority w:val="99"/>
    <w:rsid w:val="002C2524"/>
    <w:rPr>
      <w:rFonts w:ascii="Helvetica" w:hAnsi="Helvetica"/>
      <w:color w:val="535353"/>
      <w:sz w:val="41"/>
      <w:szCs w:val="41"/>
      <w:lang w:eastAsia="en-GB"/>
    </w:rPr>
  </w:style>
  <w:style w:type="character" w:customStyle="1" w:styleId="color34">
    <w:name w:val="color_34"/>
    <w:uiPriority w:val="99"/>
    <w:rsid w:val="00DF5B5A"/>
  </w:style>
  <w:style w:type="character" w:styleId="FollowedHyperlink">
    <w:name w:val="FollowedHyperlink"/>
    <w:basedOn w:val="DefaultParagraphFont"/>
    <w:uiPriority w:val="99"/>
    <w:semiHidden/>
    <w:rsid w:val="006118FD"/>
    <w:rPr>
      <w:rFonts w:cs="Times New Roman"/>
      <w:color w:val="954F72"/>
      <w:u w:val="single"/>
    </w:rPr>
  </w:style>
  <w:style w:type="paragraph" w:styleId="Header">
    <w:name w:val="header"/>
    <w:basedOn w:val="Normal"/>
    <w:link w:val="HeaderChar"/>
    <w:uiPriority w:val="99"/>
    <w:rsid w:val="00AD5DAA"/>
    <w:pPr>
      <w:tabs>
        <w:tab w:val="center" w:pos="4153"/>
        <w:tab w:val="right" w:pos="8306"/>
      </w:tabs>
    </w:pPr>
  </w:style>
  <w:style w:type="character" w:customStyle="1" w:styleId="HeaderChar">
    <w:name w:val="Header Char"/>
    <w:basedOn w:val="DefaultParagraphFont"/>
    <w:link w:val="Header"/>
    <w:uiPriority w:val="99"/>
    <w:semiHidden/>
    <w:locked/>
    <w:rPr>
      <w:sz w:val="24"/>
      <w:lang w:val="x-none" w:eastAsia="en-US"/>
    </w:rPr>
  </w:style>
  <w:style w:type="paragraph" w:styleId="Footer">
    <w:name w:val="footer"/>
    <w:basedOn w:val="Normal"/>
    <w:link w:val="FooterChar"/>
    <w:uiPriority w:val="99"/>
    <w:rsid w:val="00AD5DAA"/>
    <w:pPr>
      <w:tabs>
        <w:tab w:val="center" w:pos="4153"/>
        <w:tab w:val="right" w:pos="8306"/>
      </w:tabs>
    </w:pPr>
  </w:style>
  <w:style w:type="character" w:customStyle="1" w:styleId="FooterChar">
    <w:name w:val="Footer Char"/>
    <w:basedOn w:val="DefaultParagraphFont"/>
    <w:link w:val="Footer"/>
    <w:uiPriority w:val="99"/>
    <w:semiHidden/>
    <w:locked/>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369506">
      <w:marLeft w:val="0"/>
      <w:marRight w:val="0"/>
      <w:marTop w:val="0"/>
      <w:marBottom w:val="0"/>
      <w:divBdr>
        <w:top w:val="none" w:sz="0" w:space="0" w:color="auto"/>
        <w:left w:val="none" w:sz="0" w:space="0" w:color="auto"/>
        <w:bottom w:val="none" w:sz="0" w:space="0" w:color="auto"/>
        <w:right w:val="none" w:sz="0" w:space="0" w:color="auto"/>
      </w:divBdr>
    </w:div>
    <w:div w:id="1741369507">
      <w:marLeft w:val="0"/>
      <w:marRight w:val="0"/>
      <w:marTop w:val="0"/>
      <w:marBottom w:val="0"/>
      <w:divBdr>
        <w:top w:val="none" w:sz="0" w:space="0" w:color="auto"/>
        <w:left w:val="none" w:sz="0" w:space="0" w:color="auto"/>
        <w:bottom w:val="none" w:sz="0" w:space="0" w:color="auto"/>
        <w:right w:val="none" w:sz="0" w:space="0" w:color="auto"/>
      </w:divBdr>
    </w:div>
    <w:div w:id="1741369509">
      <w:marLeft w:val="0"/>
      <w:marRight w:val="0"/>
      <w:marTop w:val="0"/>
      <w:marBottom w:val="0"/>
      <w:divBdr>
        <w:top w:val="none" w:sz="0" w:space="0" w:color="auto"/>
        <w:left w:val="none" w:sz="0" w:space="0" w:color="auto"/>
        <w:bottom w:val="none" w:sz="0" w:space="0" w:color="auto"/>
        <w:right w:val="none" w:sz="0" w:space="0" w:color="auto"/>
      </w:divBdr>
    </w:div>
    <w:div w:id="1741369511">
      <w:marLeft w:val="0"/>
      <w:marRight w:val="0"/>
      <w:marTop w:val="0"/>
      <w:marBottom w:val="0"/>
      <w:divBdr>
        <w:top w:val="none" w:sz="0" w:space="0" w:color="auto"/>
        <w:left w:val="none" w:sz="0" w:space="0" w:color="auto"/>
        <w:bottom w:val="none" w:sz="0" w:space="0" w:color="auto"/>
        <w:right w:val="none" w:sz="0" w:space="0" w:color="auto"/>
      </w:divBdr>
    </w:div>
    <w:div w:id="1741369512">
      <w:marLeft w:val="0"/>
      <w:marRight w:val="0"/>
      <w:marTop w:val="0"/>
      <w:marBottom w:val="0"/>
      <w:divBdr>
        <w:top w:val="none" w:sz="0" w:space="0" w:color="auto"/>
        <w:left w:val="none" w:sz="0" w:space="0" w:color="auto"/>
        <w:bottom w:val="none" w:sz="0" w:space="0" w:color="auto"/>
        <w:right w:val="none" w:sz="0" w:space="0" w:color="auto"/>
      </w:divBdr>
    </w:div>
    <w:div w:id="1741369513">
      <w:marLeft w:val="0"/>
      <w:marRight w:val="0"/>
      <w:marTop w:val="0"/>
      <w:marBottom w:val="0"/>
      <w:divBdr>
        <w:top w:val="none" w:sz="0" w:space="0" w:color="auto"/>
        <w:left w:val="none" w:sz="0" w:space="0" w:color="auto"/>
        <w:bottom w:val="none" w:sz="0" w:space="0" w:color="auto"/>
        <w:right w:val="none" w:sz="0" w:space="0" w:color="auto"/>
      </w:divBdr>
    </w:div>
    <w:div w:id="1741369515">
      <w:marLeft w:val="0"/>
      <w:marRight w:val="0"/>
      <w:marTop w:val="0"/>
      <w:marBottom w:val="0"/>
      <w:divBdr>
        <w:top w:val="none" w:sz="0" w:space="0" w:color="auto"/>
        <w:left w:val="none" w:sz="0" w:space="0" w:color="auto"/>
        <w:bottom w:val="none" w:sz="0" w:space="0" w:color="auto"/>
        <w:right w:val="none" w:sz="0" w:space="0" w:color="auto"/>
      </w:divBdr>
    </w:div>
    <w:div w:id="1741369517">
      <w:marLeft w:val="0"/>
      <w:marRight w:val="0"/>
      <w:marTop w:val="0"/>
      <w:marBottom w:val="0"/>
      <w:divBdr>
        <w:top w:val="none" w:sz="0" w:space="0" w:color="auto"/>
        <w:left w:val="none" w:sz="0" w:space="0" w:color="auto"/>
        <w:bottom w:val="none" w:sz="0" w:space="0" w:color="auto"/>
        <w:right w:val="none" w:sz="0" w:space="0" w:color="auto"/>
      </w:divBdr>
      <w:divsChild>
        <w:div w:id="1741369503">
          <w:marLeft w:val="547"/>
          <w:marRight w:val="0"/>
          <w:marTop w:val="154"/>
          <w:marBottom w:val="0"/>
          <w:divBdr>
            <w:top w:val="none" w:sz="0" w:space="0" w:color="auto"/>
            <w:left w:val="none" w:sz="0" w:space="0" w:color="auto"/>
            <w:bottom w:val="none" w:sz="0" w:space="0" w:color="auto"/>
            <w:right w:val="none" w:sz="0" w:space="0" w:color="auto"/>
          </w:divBdr>
        </w:div>
        <w:div w:id="1741369518">
          <w:marLeft w:val="547"/>
          <w:marRight w:val="0"/>
          <w:marTop w:val="154"/>
          <w:marBottom w:val="0"/>
          <w:divBdr>
            <w:top w:val="none" w:sz="0" w:space="0" w:color="auto"/>
            <w:left w:val="none" w:sz="0" w:space="0" w:color="auto"/>
            <w:bottom w:val="none" w:sz="0" w:space="0" w:color="auto"/>
            <w:right w:val="none" w:sz="0" w:space="0" w:color="auto"/>
          </w:divBdr>
        </w:div>
      </w:divsChild>
    </w:div>
    <w:div w:id="1741369519">
      <w:marLeft w:val="0"/>
      <w:marRight w:val="0"/>
      <w:marTop w:val="0"/>
      <w:marBottom w:val="0"/>
      <w:divBdr>
        <w:top w:val="none" w:sz="0" w:space="0" w:color="auto"/>
        <w:left w:val="none" w:sz="0" w:space="0" w:color="auto"/>
        <w:bottom w:val="none" w:sz="0" w:space="0" w:color="auto"/>
        <w:right w:val="none" w:sz="0" w:space="0" w:color="auto"/>
      </w:divBdr>
    </w:div>
    <w:div w:id="1741369520">
      <w:marLeft w:val="0"/>
      <w:marRight w:val="0"/>
      <w:marTop w:val="0"/>
      <w:marBottom w:val="0"/>
      <w:divBdr>
        <w:top w:val="none" w:sz="0" w:space="0" w:color="auto"/>
        <w:left w:val="none" w:sz="0" w:space="0" w:color="auto"/>
        <w:bottom w:val="none" w:sz="0" w:space="0" w:color="auto"/>
        <w:right w:val="none" w:sz="0" w:space="0" w:color="auto"/>
      </w:divBdr>
    </w:div>
    <w:div w:id="1741369523">
      <w:marLeft w:val="0"/>
      <w:marRight w:val="0"/>
      <w:marTop w:val="0"/>
      <w:marBottom w:val="0"/>
      <w:divBdr>
        <w:top w:val="none" w:sz="0" w:space="0" w:color="auto"/>
        <w:left w:val="none" w:sz="0" w:space="0" w:color="auto"/>
        <w:bottom w:val="none" w:sz="0" w:space="0" w:color="auto"/>
        <w:right w:val="none" w:sz="0" w:space="0" w:color="auto"/>
      </w:divBdr>
      <w:divsChild>
        <w:div w:id="1741369504">
          <w:marLeft w:val="547"/>
          <w:marRight w:val="0"/>
          <w:marTop w:val="144"/>
          <w:marBottom w:val="0"/>
          <w:divBdr>
            <w:top w:val="none" w:sz="0" w:space="0" w:color="auto"/>
            <w:left w:val="none" w:sz="0" w:space="0" w:color="auto"/>
            <w:bottom w:val="none" w:sz="0" w:space="0" w:color="auto"/>
            <w:right w:val="none" w:sz="0" w:space="0" w:color="auto"/>
          </w:divBdr>
        </w:div>
        <w:div w:id="1741369505">
          <w:marLeft w:val="1166"/>
          <w:marRight w:val="0"/>
          <w:marTop w:val="125"/>
          <w:marBottom w:val="0"/>
          <w:divBdr>
            <w:top w:val="none" w:sz="0" w:space="0" w:color="auto"/>
            <w:left w:val="none" w:sz="0" w:space="0" w:color="auto"/>
            <w:bottom w:val="none" w:sz="0" w:space="0" w:color="auto"/>
            <w:right w:val="none" w:sz="0" w:space="0" w:color="auto"/>
          </w:divBdr>
        </w:div>
        <w:div w:id="1741369508">
          <w:marLeft w:val="547"/>
          <w:marRight w:val="0"/>
          <w:marTop w:val="144"/>
          <w:marBottom w:val="0"/>
          <w:divBdr>
            <w:top w:val="none" w:sz="0" w:space="0" w:color="auto"/>
            <w:left w:val="none" w:sz="0" w:space="0" w:color="auto"/>
            <w:bottom w:val="none" w:sz="0" w:space="0" w:color="auto"/>
            <w:right w:val="none" w:sz="0" w:space="0" w:color="auto"/>
          </w:divBdr>
        </w:div>
        <w:div w:id="1741369510">
          <w:marLeft w:val="547"/>
          <w:marRight w:val="0"/>
          <w:marTop w:val="144"/>
          <w:marBottom w:val="0"/>
          <w:divBdr>
            <w:top w:val="none" w:sz="0" w:space="0" w:color="auto"/>
            <w:left w:val="none" w:sz="0" w:space="0" w:color="auto"/>
            <w:bottom w:val="none" w:sz="0" w:space="0" w:color="auto"/>
            <w:right w:val="none" w:sz="0" w:space="0" w:color="auto"/>
          </w:divBdr>
        </w:div>
        <w:div w:id="1741369514">
          <w:marLeft w:val="547"/>
          <w:marRight w:val="0"/>
          <w:marTop w:val="144"/>
          <w:marBottom w:val="0"/>
          <w:divBdr>
            <w:top w:val="none" w:sz="0" w:space="0" w:color="auto"/>
            <w:left w:val="none" w:sz="0" w:space="0" w:color="auto"/>
            <w:bottom w:val="none" w:sz="0" w:space="0" w:color="auto"/>
            <w:right w:val="none" w:sz="0" w:space="0" w:color="auto"/>
          </w:divBdr>
        </w:div>
        <w:div w:id="1741369516">
          <w:marLeft w:val="547"/>
          <w:marRight w:val="0"/>
          <w:marTop w:val="144"/>
          <w:marBottom w:val="0"/>
          <w:divBdr>
            <w:top w:val="none" w:sz="0" w:space="0" w:color="auto"/>
            <w:left w:val="none" w:sz="0" w:space="0" w:color="auto"/>
            <w:bottom w:val="none" w:sz="0" w:space="0" w:color="auto"/>
            <w:right w:val="none" w:sz="0" w:space="0" w:color="auto"/>
          </w:divBdr>
        </w:div>
        <w:div w:id="1741369521">
          <w:marLeft w:val="547"/>
          <w:marRight w:val="0"/>
          <w:marTop w:val="144"/>
          <w:marBottom w:val="0"/>
          <w:divBdr>
            <w:top w:val="none" w:sz="0" w:space="0" w:color="auto"/>
            <w:left w:val="none" w:sz="0" w:space="0" w:color="auto"/>
            <w:bottom w:val="none" w:sz="0" w:space="0" w:color="auto"/>
            <w:right w:val="none" w:sz="0" w:space="0" w:color="auto"/>
          </w:divBdr>
        </w:div>
        <w:div w:id="1741369522">
          <w:marLeft w:val="1166"/>
          <w:marRight w:val="0"/>
          <w:marTop w:val="125"/>
          <w:marBottom w:val="0"/>
          <w:divBdr>
            <w:top w:val="none" w:sz="0" w:space="0" w:color="auto"/>
            <w:left w:val="none" w:sz="0" w:space="0" w:color="auto"/>
            <w:bottom w:val="none" w:sz="0" w:space="0" w:color="auto"/>
            <w:right w:val="none" w:sz="0" w:space="0" w:color="auto"/>
          </w:divBdr>
        </w:div>
        <w:div w:id="1741369524">
          <w:marLeft w:val="547"/>
          <w:marRight w:val="0"/>
          <w:marTop w:val="144"/>
          <w:marBottom w:val="0"/>
          <w:divBdr>
            <w:top w:val="none" w:sz="0" w:space="0" w:color="auto"/>
            <w:left w:val="none" w:sz="0" w:space="0" w:color="auto"/>
            <w:bottom w:val="none" w:sz="0" w:space="0" w:color="auto"/>
            <w:right w:val="none" w:sz="0" w:space="0" w:color="auto"/>
          </w:divBdr>
        </w:div>
      </w:divsChild>
    </w:div>
    <w:div w:id="1741369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depglobalconversati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dep.org/"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dep.org/" TargetMode="External"/><Relationship Id="rId4" Type="http://schemas.openxmlformats.org/officeDocument/2006/relationships/webSettings" Target="webSettings.xml"/><Relationship Id="rId9" Type="http://schemas.openxmlformats.org/officeDocument/2006/relationships/hyperlink" Target="http://www.asph.mobi/Guidelines_Paediatrics/SUDEP.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1531</Words>
  <Characters>8733</Characters>
  <Application>Microsoft Office Word</Application>
  <DocSecurity>0</DocSecurity>
  <Lines>0</Lines>
  <Paragraphs>0</Paragraphs>
  <ScaleCrop>false</ScaleCrop>
  <Company>Hewlett-Packard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SUDEP prevention action – EPEN Guidelines for professionals</dc:title>
  <dc:subject/>
  <dc:creator>tekisrinivas39@gmail.com</dc:creator>
  <cp:keywords/>
  <dc:description/>
  <cp:lastModifiedBy>stekki-rao</cp:lastModifiedBy>
  <cp:revision>3</cp:revision>
  <cp:lastPrinted>2017-05-25T07:30:00Z</cp:lastPrinted>
  <dcterms:created xsi:type="dcterms:W3CDTF">2017-10-10T16:20:00Z</dcterms:created>
  <dcterms:modified xsi:type="dcterms:W3CDTF">2017-10-10T16:33:00Z</dcterms:modified>
</cp:coreProperties>
</file>