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72661" w14:textId="49B56550" w:rsidR="00F03AE5" w:rsidRPr="00812590" w:rsidRDefault="00EB5000" w:rsidP="006B005F">
      <w:pPr>
        <w:spacing w:before="100" w:beforeAutospacing="1" w:after="100" w:afterAutospacing="1" w:line="240" w:lineRule="auto"/>
        <w:rPr>
          <w:rFonts w:eastAsia="Times New Roman" w:cstheme="minorHAnsi"/>
          <w:sz w:val="24"/>
          <w:szCs w:val="24"/>
        </w:rPr>
      </w:pPr>
      <w:bookmarkStart w:id="0" w:name="_GoBack"/>
      <w:bookmarkEnd w:id="0"/>
      <w:r>
        <w:rPr>
          <w:noProof/>
          <w:lang w:val="en-GB" w:eastAsia="en-GB"/>
        </w:rPr>
        <w:drawing>
          <wp:anchor distT="0" distB="0" distL="114300" distR="114300" simplePos="0" relativeHeight="251658241" behindDoc="0" locked="0" layoutInCell="1" allowOverlap="1" wp14:anchorId="611DE391" wp14:editId="2E1A793D">
            <wp:simplePos x="0" y="0"/>
            <wp:positionH relativeFrom="margin">
              <wp:align>left</wp:align>
            </wp:positionH>
            <wp:positionV relativeFrom="paragraph">
              <wp:posOffset>-510363</wp:posOffset>
            </wp:positionV>
            <wp:extent cx="1518006" cy="616689"/>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006" cy="6166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12D84" w14:textId="5AFF9CD8" w:rsidR="00295A60" w:rsidRPr="00EB5000" w:rsidRDefault="00295A60" w:rsidP="0060309F">
      <w:pPr>
        <w:pStyle w:val="Title"/>
        <w:rPr>
          <w:rFonts w:ascii="Segoe UI" w:hAnsi="Segoe UI" w:cs="Segoe UI"/>
        </w:rPr>
      </w:pPr>
      <w:r w:rsidRPr="00EB5000">
        <w:rPr>
          <w:rFonts w:ascii="Segoe UI" w:hAnsi="Segoe UI" w:cs="Segoe UI"/>
        </w:rPr>
        <w:t>SUDEP prevention action – EPEN Guidelines for professionals</w:t>
      </w:r>
    </w:p>
    <w:p w14:paraId="75F992D3" w14:textId="77777777" w:rsidR="00EB5000" w:rsidRPr="00EB5000" w:rsidRDefault="00EB5000" w:rsidP="00EB5000"/>
    <w:p w14:paraId="7CAA3683" w14:textId="77777777" w:rsidR="00EB5000" w:rsidRDefault="00EB5000" w:rsidP="00EB5000"/>
    <w:tbl>
      <w:tblPr>
        <w:tblStyle w:val="TableGrid"/>
        <w:tblW w:w="9386" w:type="dxa"/>
        <w:tblLook w:val="04A0" w:firstRow="1" w:lastRow="0" w:firstColumn="1" w:lastColumn="0" w:noHBand="0" w:noVBand="1"/>
      </w:tblPr>
      <w:tblGrid>
        <w:gridCol w:w="3120"/>
        <w:gridCol w:w="3625"/>
        <w:gridCol w:w="2641"/>
      </w:tblGrid>
      <w:tr w:rsidR="00EB5000" w14:paraId="4B2E77FE" w14:textId="77777777" w:rsidTr="004A604F">
        <w:trPr>
          <w:trHeight w:val="548"/>
        </w:trPr>
        <w:tc>
          <w:tcPr>
            <w:tcW w:w="3120" w:type="dxa"/>
            <w:shd w:val="clear" w:color="auto" w:fill="F2F2F2" w:themeFill="background1" w:themeFillShade="F2"/>
            <w:vAlign w:val="center"/>
          </w:tcPr>
          <w:p w14:paraId="5B00B7D4" w14:textId="6E64CAB7" w:rsidR="00EB5000" w:rsidRPr="00EB5000" w:rsidRDefault="00EB5000" w:rsidP="00EB5000">
            <w:pPr>
              <w:rPr>
                <w:b/>
              </w:rPr>
            </w:pPr>
            <w:r>
              <w:rPr>
                <w:b/>
              </w:rPr>
              <w:t>Version</w:t>
            </w:r>
          </w:p>
        </w:tc>
        <w:tc>
          <w:tcPr>
            <w:tcW w:w="3625" w:type="dxa"/>
            <w:shd w:val="clear" w:color="auto" w:fill="F2F2F2" w:themeFill="background1" w:themeFillShade="F2"/>
            <w:vAlign w:val="center"/>
          </w:tcPr>
          <w:p w14:paraId="45992F49" w14:textId="24C38BFA" w:rsidR="00EB5000" w:rsidRPr="00EB5000" w:rsidRDefault="00EB5000" w:rsidP="00EB5000">
            <w:pPr>
              <w:rPr>
                <w:b/>
              </w:rPr>
            </w:pPr>
            <w:r w:rsidRPr="00EB5000">
              <w:rPr>
                <w:b/>
              </w:rPr>
              <w:t>Author</w:t>
            </w:r>
          </w:p>
        </w:tc>
        <w:tc>
          <w:tcPr>
            <w:tcW w:w="2641" w:type="dxa"/>
            <w:shd w:val="clear" w:color="auto" w:fill="F2F2F2" w:themeFill="background1" w:themeFillShade="F2"/>
            <w:vAlign w:val="center"/>
          </w:tcPr>
          <w:p w14:paraId="20B7D33F" w14:textId="23C1A715" w:rsidR="00EB5000" w:rsidRPr="00EB5000" w:rsidRDefault="00EB5000" w:rsidP="00EB5000">
            <w:pPr>
              <w:rPr>
                <w:b/>
              </w:rPr>
            </w:pPr>
            <w:r w:rsidRPr="00EB5000">
              <w:rPr>
                <w:b/>
              </w:rPr>
              <w:t>Date of Ratification</w:t>
            </w:r>
          </w:p>
        </w:tc>
      </w:tr>
      <w:tr w:rsidR="00EB5000" w14:paraId="7AC643F7" w14:textId="77777777" w:rsidTr="004A604F">
        <w:trPr>
          <w:trHeight w:val="548"/>
        </w:trPr>
        <w:tc>
          <w:tcPr>
            <w:tcW w:w="3120" w:type="dxa"/>
            <w:vAlign w:val="center"/>
          </w:tcPr>
          <w:p w14:paraId="50BE2ACE" w14:textId="34C1DC86" w:rsidR="00EB5000" w:rsidRPr="00EB5000" w:rsidRDefault="00EB5000" w:rsidP="00EB5000">
            <w:pPr>
              <w:rPr>
                <w:sz w:val="24"/>
                <w:szCs w:val="24"/>
              </w:rPr>
            </w:pPr>
            <w:r w:rsidRPr="00EB5000">
              <w:rPr>
                <w:sz w:val="24"/>
                <w:szCs w:val="24"/>
              </w:rPr>
              <w:t>Version 1</w:t>
            </w:r>
            <w:r>
              <w:rPr>
                <w:sz w:val="24"/>
                <w:szCs w:val="24"/>
              </w:rPr>
              <w:t xml:space="preserve"> – new guideline</w:t>
            </w:r>
          </w:p>
        </w:tc>
        <w:tc>
          <w:tcPr>
            <w:tcW w:w="3625" w:type="dxa"/>
            <w:vAlign w:val="center"/>
          </w:tcPr>
          <w:p w14:paraId="2A7D1161" w14:textId="6DF816BA" w:rsidR="00EB5000" w:rsidRPr="00EB5000" w:rsidRDefault="00EB5000" w:rsidP="00EB5000">
            <w:pPr>
              <w:rPr>
                <w:sz w:val="24"/>
                <w:szCs w:val="24"/>
              </w:rPr>
            </w:pPr>
            <w:proofErr w:type="spellStart"/>
            <w:r w:rsidRPr="00EB5000">
              <w:rPr>
                <w:sz w:val="24"/>
                <w:szCs w:val="24"/>
              </w:rPr>
              <w:t>Tekki</w:t>
            </w:r>
            <w:proofErr w:type="spellEnd"/>
            <w:r w:rsidRPr="00EB5000">
              <w:rPr>
                <w:sz w:val="24"/>
                <w:szCs w:val="24"/>
              </w:rPr>
              <w:t xml:space="preserve"> Rao, Alasdair Parker</w:t>
            </w:r>
          </w:p>
        </w:tc>
        <w:tc>
          <w:tcPr>
            <w:tcW w:w="2641" w:type="dxa"/>
            <w:vAlign w:val="center"/>
          </w:tcPr>
          <w:p w14:paraId="1B108956" w14:textId="692C0953" w:rsidR="00EB5000" w:rsidRPr="00EB5000" w:rsidRDefault="00EB5000" w:rsidP="00EB5000">
            <w:pPr>
              <w:rPr>
                <w:sz w:val="24"/>
                <w:szCs w:val="24"/>
              </w:rPr>
            </w:pPr>
            <w:r w:rsidRPr="00EB5000">
              <w:rPr>
                <w:sz w:val="24"/>
                <w:szCs w:val="24"/>
              </w:rPr>
              <w:t>October 2017</w:t>
            </w:r>
          </w:p>
        </w:tc>
      </w:tr>
      <w:tr w:rsidR="00EB5000" w14:paraId="417EAB59" w14:textId="77777777" w:rsidTr="004A604F">
        <w:trPr>
          <w:trHeight w:val="548"/>
        </w:trPr>
        <w:tc>
          <w:tcPr>
            <w:tcW w:w="3120" w:type="dxa"/>
            <w:vAlign w:val="center"/>
          </w:tcPr>
          <w:p w14:paraId="232A41AF" w14:textId="32F3622F" w:rsidR="00EB5000" w:rsidRPr="00EB5000" w:rsidRDefault="00EB5000" w:rsidP="00EB5000">
            <w:pPr>
              <w:rPr>
                <w:sz w:val="24"/>
                <w:szCs w:val="24"/>
              </w:rPr>
            </w:pPr>
            <w:r w:rsidRPr="00EB5000">
              <w:rPr>
                <w:sz w:val="24"/>
                <w:szCs w:val="24"/>
              </w:rPr>
              <w:t>Version 2</w:t>
            </w:r>
            <w:r>
              <w:rPr>
                <w:sz w:val="24"/>
                <w:szCs w:val="24"/>
              </w:rPr>
              <w:t xml:space="preserve"> - updated</w:t>
            </w:r>
          </w:p>
        </w:tc>
        <w:tc>
          <w:tcPr>
            <w:tcW w:w="3625" w:type="dxa"/>
            <w:vAlign w:val="center"/>
          </w:tcPr>
          <w:p w14:paraId="2726A03B" w14:textId="0CD39B1F" w:rsidR="00EB5000" w:rsidRPr="00EB5000" w:rsidRDefault="00EB5000" w:rsidP="00EB5000">
            <w:pPr>
              <w:rPr>
                <w:sz w:val="24"/>
                <w:szCs w:val="24"/>
              </w:rPr>
            </w:pPr>
            <w:r w:rsidRPr="00EB5000">
              <w:rPr>
                <w:sz w:val="24"/>
                <w:szCs w:val="24"/>
              </w:rPr>
              <w:t>Ahmed Albialy, Manal Issa</w:t>
            </w:r>
            <w:r w:rsidR="00AC21EC">
              <w:rPr>
                <w:sz w:val="24"/>
                <w:szCs w:val="24"/>
              </w:rPr>
              <w:t>, Pooja Harijan</w:t>
            </w:r>
          </w:p>
        </w:tc>
        <w:tc>
          <w:tcPr>
            <w:tcW w:w="2641" w:type="dxa"/>
            <w:vAlign w:val="center"/>
          </w:tcPr>
          <w:p w14:paraId="0FDDC01E" w14:textId="424814B9" w:rsidR="00EB5000" w:rsidRPr="00EB5000" w:rsidRDefault="00EB5000" w:rsidP="00EB5000">
            <w:pPr>
              <w:rPr>
                <w:sz w:val="24"/>
                <w:szCs w:val="24"/>
              </w:rPr>
            </w:pPr>
            <w:r w:rsidRPr="00EB5000">
              <w:rPr>
                <w:sz w:val="24"/>
                <w:szCs w:val="24"/>
              </w:rPr>
              <w:t>August 2021</w:t>
            </w:r>
          </w:p>
        </w:tc>
      </w:tr>
      <w:tr w:rsidR="00DC1633" w14:paraId="05736F64" w14:textId="77777777" w:rsidTr="001D4866">
        <w:trPr>
          <w:trHeight w:val="548"/>
        </w:trPr>
        <w:tc>
          <w:tcPr>
            <w:tcW w:w="9386" w:type="dxa"/>
            <w:gridSpan w:val="3"/>
            <w:vAlign w:val="center"/>
          </w:tcPr>
          <w:p w14:paraId="7F30928F" w14:textId="37300363" w:rsidR="00DC1633" w:rsidRPr="00EB5000" w:rsidRDefault="00DC1633" w:rsidP="00EB5000">
            <w:pPr>
              <w:rPr>
                <w:sz w:val="24"/>
                <w:szCs w:val="24"/>
              </w:rPr>
            </w:pPr>
            <w:r>
              <w:rPr>
                <w:sz w:val="24"/>
                <w:szCs w:val="24"/>
              </w:rPr>
              <w:t xml:space="preserve">Next review </w:t>
            </w:r>
            <w:r w:rsidR="00C66B4D">
              <w:rPr>
                <w:sz w:val="24"/>
                <w:szCs w:val="24"/>
              </w:rPr>
              <w:t>August 2024</w:t>
            </w:r>
          </w:p>
        </w:tc>
      </w:tr>
    </w:tbl>
    <w:p w14:paraId="1B3102CE" w14:textId="77777777" w:rsidR="00295A60" w:rsidRPr="00EB5000" w:rsidRDefault="00295A60" w:rsidP="00295A60"/>
    <w:p w14:paraId="50F68CAA" w14:textId="671E7FF5" w:rsidR="00295A60" w:rsidRPr="006B005F" w:rsidRDefault="00295A60" w:rsidP="00295A60">
      <w:pPr>
        <w:spacing w:before="100" w:beforeAutospacing="1" w:after="100" w:afterAutospacing="1" w:line="240" w:lineRule="auto"/>
        <w:outlineLvl w:val="0"/>
        <w:rPr>
          <w:rFonts w:eastAsia="Times New Roman" w:cstheme="minorHAnsi"/>
          <w:b/>
          <w:bCs/>
          <w:color w:val="2F5496" w:themeColor="accent1" w:themeShade="BF"/>
          <w:kern w:val="36"/>
          <w:sz w:val="32"/>
          <w:szCs w:val="32"/>
        </w:rPr>
      </w:pPr>
      <w:r w:rsidRPr="00812590">
        <w:rPr>
          <w:rFonts w:eastAsia="Times New Roman" w:cstheme="minorHAnsi"/>
          <w:b/>
          <w:bCs/>
          <w:color w:val="2F5496" w:themeColor="accent1" w:themeShade="BF"/>
          <w:kern w:val="36"/>
          <w:sz w:val="32"/>
          <w:szCs w:val="32"/>
        </w:rPr>
        <w:t>Introduction</w:t>
      </w:r>
    </w:p>
    <w:p w14:paraId="483A339A" w14:textId="2AD8131C" w:rsidR="006B005F" w:rsidRPr="006B005F" w:rsidRDefault="006B005F" w:rsidP="006B005F">
      <w:p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 xml:space="preserve">Sudden unexpected death in epilepsy (SUDEP) is a very small but </w:t>
      </w:r>
      <w:r w:rsidR="006D6899" w:rsidRPr="00812590">
        <w:rPr>
          <w:rFonts w:eastAsia="Times New Roman" w:cstheme="minorHAnsi"/>
          <w:sz w:val="24"/>
          <w:szCs w:val="24"/>
        </w:rPr>
        <w:t>recognizable</w:t>
      </w:r>
      <w:r w:rsidRPr="006B005F">
        <w:rPr>
          <w:rFonts w:eastAsia="Times New Roman" w:cstheme="minorHAnsi"/>
          <w:sz w:val="24"/>
          <w:szCs w:val="24"/>
        </w:rPr>
        <w:t xml:space="preserve"> risk in children with epilepsy. Health care professionals dealing with families of children with epilepsy have professional responsibility to inform about this risk at some appropriate time during diagnosis and treatment. This document helps professionals guiding appropriateness of initiation and content of these discussions with families.</w:t>
      </w:r>
    </w:p>
    <w:p w14:paraId="7BDA85A4" w14:textId="77777777" w:rsidR="006B005F" w:rsidRPr="006B005F" w:rsidRDefault="006B005F" w:rsidP="006B005F">
      <w:pPr>
        <w:spacing w:before="100" w:beforeAutospacing="1" w:after="100" w:afterAutospacing="1" w:line="240" w:lineRule="auto"/>
        <w:outlineLvl w:val="0"/>
        <w:rPr>
          <w:rFonts w:eastAsia="Times New Roman" w:cstheme="minorHAnsi"/>
          <w:b/>
          <w:bCs/>
          <w:color w:val="2F5496" w:themeColor="accent1" w:themeShade="BF"/>
          <w:kern w:val="36"/>
          <w:sz w:val="32"/>
          <w:szCs w:val="32"/>
        </w:rPr>
      </w:pPr>
      <w:r w:rsidRPr="006B005F">
        <w:rPr>
          <w:rFonts w:eastAsia="Times New Roman" w:cstheme="minorHAnsi"/>
          <w:b/>
          <w:bCs/>
          <w:color w:val="2F5496" w:themeColor="accent1" w:themeShade="BF"/>
          <w:kern w:val="36"/>
          <w:sz w:val="32"/>
          <w:szCs w:val="32"/>
        </w:rPr>
        <w:t>Definition</w:t>
      </w:r>
    </w:p>
    <w:p w14:paraId="0945D799" w14:textId="39348EE9" w:rsidR="006B005F" w:rsidRPr="006B005F" w:rsidRDefault="006B005F" w:rsidP="006B005F">
      <w:p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"The sudden, unexpected, witnessed or unwitnessed, nontraumatic, and non</w:t>
      </w:r>
      <w:r w:rsidR="006D6899" w:rsidRPr="00812590">
        <w:rPr>
          <w:rFonts w:eastAsia="Times New Roman" w:cstheme="minorHAnsi"/>
          <w:sz w:val="24"/>
          <w:szCs w:val="24"/>
        </w:rPr>
        <w:t>-</w:t>
      </w:r>
      <w:r w:rsidRPr="006B005F">
        <w:rPr>
          <w:rFonts w:eastAsia="Times New Roman" w:cstheme="minorHAnsi"/>
          <w:sz w:val="24"/>
          <w:szCs w:val="24"/>
        </w:rPr>
        <w:t xml:space="preserve">drowning death in patients with epilepsy with or without evidence of a seizure, and excluding documented status epilepticus ≥30 minutes in duration, in which </w:t>
      </w:r>
      <w:r w:rsidR="008D33D2" w:rsidRPr="00812590">
        <w:rPr>
          <w:rFonts w:eastAsia="Times New Roman" w:cstheme="minorHAnsi"/>
          <w:sz w:val="24"/>
          <w:szCs w:val="24"/>
        </w:rPr>
        <w:t>postmortem</w:t>
      </w:r>
      <w:r w:rsidRPr="006B005F">
        <w:rPr>
          <w:rFonts w:eastAsia="Times New Roman" w:cstheme="minorHAnsi"/>
          <w:sz w:val="24"/>
          <w:szCs w:val="24"/>
        </w:rPr>
        <w:t xml:space="preserve"> examination does not reveal a structural or toxicologic cause for death." </w:t>
      </w:r>
      <w:r w:rsidRPr="006B005F">
        <w:rPr>
          <w:rFonts w:eastAsia="Times New Roman" w:cstheme="minorHAnsi"/>
          <w:b/>
          <w:bCs/>
          <w:sz w:val="24"/>
          <w:szCs w:val="24"/>
          <w:vertAlign w:val="superscript"/>
        </w:rPr>
        <w:t>(1)</w:t>
      </w:r>
    </w:p>
    <w:p w14:paraId="576CB52A" w14:textId="77777777" w:rsidR="006B005F" w:rsidRPr="006B005F" w:rsidRDefault="006B005F" w:rsidP="006B005F">
      <w:pPr>
        <w:spacing w:before="100" w:beforeAutospacing="1" w:after="100" w:afterAutospacing="1" w:line="240" w:lineRule="auto"/>
        <w:outlineLvl w:val="0"/>
        <w:rPr>
          <w:rFonts w:eastAsia="Times New Roman" w:cstheme="minorHAnsi"/>
          <w:b/>
          <w:bCs/>
          <w:color w:val="2F5496" w:themeColor="accent1" w:themeShade="BF"/>
          <w:kern w:val="36"/>
          <w:sz w:val="32"/>
          <w:szCs w:val="32"/>
        </w:rPr>
      </w:pPr>
      <w:r w:rsidRPr="006B005F">
        <w:rPr>
          <w:rFonts w:eastAsia="Times New Roman" w:cstheme="minorHAnsi"/>
          <w:b/>
          <w:bCs/>
          <w:color w:val="2F5496" w:themeColor="accent1" w:themeShade="BF"/>
          <w:kern w:val="36"/>
          <w:sz w:val="32"/>
          <w:szCs w:val="32"/>
        </w:rPr>
        <w:t>Incidence</w:t>
      </w:r>
    </w:p>
    <w:p w14:paraId="006EE906" w14:textId="2FDFC802" w:rsidR="006B005F" w:rsidRPr="006B005F" w:rsidRDefault="006B005F" w:rsidP="006B005F">
      <w:p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SUDEP is generally rare in children. One systematic review and meta-analysis by the American Academy of Neurology reported the incidence of SUDEP in children to be 0.22 per 1,000 patient-years (95% CI 0.16–0.31). This means in 1 year, SUDEP typically affects 1 in 4,500 children with epilepsy. The number</w:t>
      </w:r>
      <w:r w:rsidR="00F03AE5" w:rsidRPr="00812590">
        <w:rPr>
          <w:rFonts w:eastAsia="Times New Roman" w:cstheme="minorHAnsi"/>
          <w:sz w:val="24"/>
          <w:szCs w:val="24"/>
        </w:rPr>
        <w:t>s</w:t>
      </w:r>
      <w:r w:rsidRPr="006B005F">
        <w:rPr>
          <w:rFonts w:eastAsia="Times New Roman" w:cstheme="minorHAnsi"/>
          <w:sz w:val="24"/>
          <w:szCs w:val="24"/>
        </w:rPr>
        <w:t xml:space="preserve"> were higher in adults (1.2 per 1000 person-years, 95% CI 0.64-2.32) </w:t>
      </w:r>
      <w:r w:rsidRPr="006B005F">
        <w:rPr>
          <w:rFonts w:eastAsia="Times New Roman" w:cstheme="minorHAnsi"/>
          <w:b/>
          <w:bCs/>
          <w:sz w:val="24"/>
          <w:szCs w:val="24"/>
          <w:vertAlign w:val="superscript"/>
        </w:rPr>
        <w:t>(2)</w:t>
      </w:r>
    </w:p>
    <w:p w14:paraId="39EE39B6" w14:textId="77777777" w:rsidR="006B005F" w:rsidRPr="006B005F" w:rsidRDefault="006B005F" w:rsidP="006B005F">
      <w:p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lastRenderedPageBreak/>
        <w:t xml:space="preserve">Although, a later Swedish population-based cohort study that included &gt; 57,000 epilepsy patients reported a higher number in children as 1.11 per 1,000 patient-years (95% CI 0.45–2.29). This means in 1 year, SUDEP typically affects 1 in 900 children with epilepsy. </w:t>
      </w:r>
      <w:r w:rsidRPr="006B005F">
        <w:rPr>
          <w:rFonts w:eastAsia="Times New Roman" w:cstheme="minorHAnsi"/>
          <w:b/>
          <w:bCs/>
          <w:sz w:val="24"/>
          <w:szCs w:val="24"/>
          <w:vertAlign w:val="superscript"/>
        </w:rPr>
        <w:t>(3)</w:t>
      </w:r>
    </w:p>
    <w:p w14:paraId="0328CD3E" w14:textId="77777777" w:rsidR="006B005F" w:rsidRPr="006B005F" w:rsidRDefault="006B005F" w:rsidP="0060309F">
      <w:pPr>
        <w:pStyle w:val="Custtitle"/>
      </w:pPr>
      <w:r w:rsidRPr="006B005F">
        <w:t>Pathophysiology</w:t>
      </w:r>
    </w:p>
    <w:p w14:paraId="563D8076" w14:textId="5799D0BD" w:rsidR="00462CDA" w:rsidRPr="00EB5000" w:rsidRDefault="006B005F" w:rsidP="00EB5000">
      <w:p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 xml:space="preserve">The pathophysiology of SUDEP is not clearly understood. It is believed to occur during or following a seizure. It has been suggested to be due to cardiac arrhythmia, respiratory dysfunction, cerebral shutdown, genetic, drug, metabolic, and environmental factors. </w:t>
      </w:r>
      <w:r w:rsidRPr="006B005F">
        <w:rPr>
          <w:rFonts w:eastAsia="Times New Roman" w:cstheme="minorHAnsi"/>
          <w:b/>
          <w:bCs/>
          <w:sz w:val="24"/>
          <w:szCs w:val="24"/>
          <w:vertAlign w:val="superscript"/>
        </w:rPr>
        <w:t>(4)</w:t>
      </w:r>
    </w:p>
    <w:p w14:paraId="454AD3B7" w14:textId="6087D684" w:rsidR="006B005F" w:rsidRPr="006B005F" w:rsidRDefault="006B005F" w:rsidP="0060309F">
      <w:pPr>
        <w:pStyle w:val="Custtitle"/>
      </w:pPr>
      <w:r w:rsidRPr="006B005F">
        <w:t>Risk factors</w:t>
      </w:r>
    </w:p>
    <w:p w14:paraId="62A8E7C6" w14:textId="6E2DB974" w:rsidR="006B005F" w:rsidRPr="006B005F" w:rsidRDefault="006B005F" w:rsidP="006B005F">
      <w:p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Data from a recent Swedish population-based case-control study</w:t>
      </w:r>
      <w:r w:rsidR="00CD4401" w:rsidRPr="00812590">
        <w:rPr>
          <w:rFonts w:eastAsia="Times New Roman" w:cstheme="minorHAnsi"/>
          <w:sz w:val="24"/>
          <w:szCs w:val="24"/>
        </w:rPr>
        <w:t xml:space="preserve"> suggest risk factors related to s</w:t>
      </w:r>
      <w:r w:rsidR="000D2DE5" w:rsidRPr="00812590">
        <w:rPr>
          <w:rFonts w:eastAsia="Times New Roman" w:cstheme="minorHAnsi"/>
          <w:sz w:val="24"/>
          <w:szCs w:val="24"/>
        </w:rPr>
        <w:t>ei</w:t>
      </w:r>
      <w:r w:rsidR="00CD4401" w:rsidRPr="00812590">
        <w:rPr>
          <w:rFonts w:eastAsia="Times New Roman" w:cstheme="minorHAnsi"/>
          <w:sz w:val="24"/>
          <w:szCs w:val="24"/>
        </w:rPr>
        <w:t>zures</w:t>
      </w:r>
      <w:r w:rsidR="000D2DE5" w:rsidRPr="00812590">
        <w:rPr>
          <w:rFonts w:eastAsia="Times New Roman" w:cstheme="minorHAnsi"/>
          <w:sz w:val="24"/>
          <w:szCs w:val="24"/>
        </w:rPr>
        <w:t xml:space="preserve"> character and frequency, treatment, comorbidity,</w:t>
      </w:r>
      <w:r w:rsidR="00E57569" w:rsidRPr="00812590">
        <w:rPr>
          <w:rFonts w:eastAsia="Times New Roman" w:cstheme="minorHAnsi"/>
          <w:sz w:val="24"/>
          <w:szCs w:val="24"/>
        </w:rPr>
        <w:t xml:space="preserve"> demographic characters,</w:t>
      </w:r>
      <w:r w:rsidR="000D2DE5" w:rsidRPr="00812590">
        <w:rPr>
          <w:rFonts w:eastAsia="Times New Roman" w:cstheme="minorHAnsi"/>
          <w:sz w:val="24"/>
          <w:szCs w:val="24"/>
        </w:rPr>
        <w:t xml:space="preserve"> and living conditions.</w:t>
      </w:r>
      <w:r w:rsidRPr="006B005F">
        <w:rPr>
          <w:rFonts w:eastAsia="Times New Roman" w:cstheme="minorHAnsi"/>
          <w:sz w:val="24"/>
          <w:szCs w:val="24"/>
        </w:rPr>
        <w:t xml:space="preserve"> </w:t>
      </w:r>
      <w:r w:rsidRPr="006B005F">
        <w:rPr>
          <w:rFonts w:eastAsia="Times New Roman" w:cstheme="minorHAnsi"/>
          <w:b/>
          <w:bCs/>
          <w:sz w:val="24"/>
          <w:szCs w:val="24"/>
          <w:vertAlign w:val="superscript"/>
        </w:rPr>
        <w:t>(5)</w:t>
      </w:r>
    </w:p>
    <w:p w14:paraId="73E57493" w14:textId="0B4DD194" w:rsidR="00CC16D5" w:rsidRPr="00812590" w:rsidRDefault="00502250" w:rsidP="00CC16D5">
      <w:pPr>
        <w:spacing w:before="100" w:beforeAutospacing="1" w:after="100" w:afterAutospacing="1" w:line="240" w:lineRule="auto"/>
        <w:outlineLvl w:val="2"/>
        <w:rPr>
          <w:rFonts w:eastAsia="Times New Roman" w:cstheme="minorHAnsi"/>
          <w:b/>
          <w:bCs/>
          <w:sz w:val="24"/>
          <w:szCs w:val="24"/>
        </w:rPr>
      </w:pPr>
      <w:r w:rsidRPr="00812590">
        <w:rPr>
          <w:rFonts w:eastAsia="Times New Roman" w:cstheme="minorHAnsi"/>
          <w:b/>
          <w:bCs/>
          <w:sz w:val="24"/>
          <w:szCs w:val="24"/>
        </w:rPr>
        <w:t>Moderate to high risk</w:t>
      </w:r>
    </w:p>
    <w:p w14:paraId="2B1FD5B3" w14:textId="77777777" w:rsidR="00E57569" w:rsidRPr="00812590" w:rsidRDefault="00E57569" w:rsidP="00E57569">
      <w:pPr>
        <w:pStyle w:val="ListParagraph"/>
        <w:numPr>
          <w:ilvl w:val="0"/>
          <w:numId w:val="9"/>
        </w:numPr>
        <w:autoSpaceDE w:val="0"/>
        <w:autoSpaceDN w:val="0"/>
        <w:adjustRightInd w:val="0"/>
        <w:rPr>
          <w:rFonts w:cs="Calibri"/>
          <w:sz w:val="24"/>
          <w:szCs w:val="24"/>
        </w:rPr>
      </w:pPr>
      <w:r w:rsidRPr="00812590">
        <w:rPr>
          <w:rFonts w:cs="Calibri"/>
          <w:sz w:val="24"/>
          <w:szCs w:val="24"/>
          <w:lang w:val="en-GB"/>
        </w:rPr>
        <w:t>Generalised</w:t>
      </w:r>
      <w:r w:rsidRPr="00812590">
        <w:rPr>
          <w:rFonts w:cs="Calibri"/>
          <w:sz w:val="24"/>
          <w:szCs w:val="24"/>
        </w:rPr>
        <w:t xml:space="preserve"> tonic clonic seizures (presence and frequency)</w:t>
      </w:r>
    </w:p>
    <w:p w14:paraId="7F55F237" w14:textId="2DA30CAB" w:rsidR="00E57569" w:rsidRPr="00812590" w:rsidRDefault="00E57569" w:rsidP="00E57569">
      <w:pPr>
        <w:pStyle w:val="ListParagraph"/>
        <w:numPr>
          <w:ilvl w:val="0"/>
          <w:numId w:val="9"/>
        </w:numPr>
        <w:autoSpaceDE w:val="0"/>
        <w:autoSpaceDN w:val="0"/>
        <w:adjustRightInd w:val="0"/>
        <w:rPr>
          <w:rFonts w:cs="Calibri"/>
          <w:sz w:val="24"/>
          <w:szCs w:val="24"/>
        </w:rPr>
      </w:pPr>
      <w:r w:rsidRPr="00812590">
        <w:rPr>
          <w:rFonts w:cs="Calibri"/>
          <w:sz w:val="24"/>
          <w:szCs w:val="24"/>
        </w:rPr>
        <w:t>Nocturnal/sleep seizures especially with no supervision</w:t>
      </w:r>
    </w:p>
    <w:p w14:paraId="13C5B49A" w14:textId="1A589728" w:rsidR="00E57569" w:rsidRPr="00812590" w:rsidRDefault="00E57569" w:rsidP="00E57569">
      <w:pPr>
        <w:pStyle w:val="ListParagraph"/>
        <w:numPr>
          <w:ilvl w:val="0"/>
          <w:numId w:val="9"/>
        </w:numPr>
        <w:autoSpaceDE w:val="0"/>
        <w:autoSpaceDN w:val="0"/>
        <w:adjustRightInd w:val="0"/>
        <w:rPr>
          <w:rFonts w:cs="Calibri"/>
          <w:sz w:val="24"/>
          <w:szCs w:val="24"/>
        </w:rPr>
      </w:pPr>
      <w:r w:rsidRPr="00812590">
        <w:rPr>
          <w:rFonts w:cs="Calibri"/>
          <w:sz w:val="24"/>
          <w:szCs w:val="24"/>
        </w:rPr>
        <w:t>Medically refractory epilepsy (when not being treated)</w:t>
      </w:r>
    </w:p>
    <w:p w14:paraId="22AE35FD" w14:textId="7AB93421" w:rsidR="00E57569" w:rsidRPr="00812590" w:rsidRDefault="00E57569" w:rsidP="00E57569">
      <w:pPr>
        <w:pStyle w:val="ListParagraph"/>
        <w:numPr>
          <w:ilvl w:val="0"/>
          <w:numId w:val="9"/>
        </w:numPr>
        <w:autoSpaceDE w:val="0"/>
        <w:autoSpaceDN w:val="0"/>
        <w:adjustRightInd w:val="0"/>
        <w:rPr>
          <w:rFonts w:cs="Calibri"/>
          <w:sz w:val="24"/>
          <w:szCs w:val="24"/>
        </w:rPr>
      </w:pPr>
      <w:r w:rsidRPr="00812590">
        <w:rPr>
          <w:rFonts w:cs="Calibri"/>
          <w:sz w:val="24"/>
          <w:szCs w:val="24"/>
        </w:rPr>
        <w:t>Individuals with poor concordance</w:t>
      </w:r>
    </w:p>
    <w:p w14:paraId="1059EDAD" w14:textId="2B9352D3" w:rsidR="00E57569" w:rsidRPr="00812590" w:rsidRDefault="00E57569" w:rsidP="00E57569">
      <w:pPr>
        <w:pStyle w:val="ListParagraph"/>
        <w:numPr>
          <w:ilvl w:val="0"/>
          <w:numId w:val="9"/>
        </w:numPr>
        <w:autoSpaceDE w:val="0"/>
        <w:autoSpaceDN w:val="0"/>
        <w:adjustRightInd w:val="0"/>
        <w:rPr>
          <w:rFonts w:cs="Calibri"/>
          <w:sz w:val="24"/>
          <w:szCs w:val="24"/>
        </w:rPr>
      </w:pPr>
      <w:r w:rsidRPr="00812590">
        <w:rPr>
          <w:rFonts w:cs="Calibri"/>
          <w:sz w:val="24"/>
          <w:szCs w:val="24"/>
        </w:rPr>
        <w:t>Never treated with antiepileptic drugs</w:t>
      </w:r>
    </w:p>
    <w:p w14:paraId="3F463C83" w14:textId="0A53EC5C" w:rsidR="00145EE1" w:rsidRPr="00812590" w:rsidRDefault="00E57569" w:rsidP="00145EE1">
      <w:pPr>
        <w:pStyle w:val="ListParagraph"/>
        <w:numPr>
          <w:ilvl w:val="0"/>
          <w:numId w:val="9"/>
        </w:numPr>
        <w:autoSpaceDE w:val="0"/>
        <w:autoSpaceDN w:val="0"/>
        <w:adjustRightInd w:val="0"/>
        <w:rPr>
          <w:rFonts w:cs="Calibri"/>
          <w:sz w:val="24"/>
          <w:szCs w:val="24"/>
        </w:rPr>
      </w:pPr>
      <w:r w:rsidRPr="00812590">
        <w:rPr>
          <w:rFonts w:cs="Calibri"/>
          <w:sz w:val="24"/>
          <w:szCs w:val="24"/>
        </w:rPr>
        <w:t>Young adults who live alone</w:t>
      </w:r>
      <w:r w:rsidR="005577DD">
        <w:rPr>
          <w:rFonts w:cs="Calibri"/>
          <w:sz w:val="24"/>
          <w:szCs w:val="24"/>
        </w:rPr>
        <w:t xml:space="preserve"> especially males</w:t>
      </w:r>
    </w:p>
    <w:p w14:paraId="6A6A2DEC" w14:textId="6891EAD8" w:rsidR="00D70C71" w:rsidRPr="00812590" w:rsidRDefault="00A44060" w:rsidP="00D70C71">
      <w:pPr>
        <w:pStyle w:val="ListParagraph"/>
        <w:numPr>
          <w:ilvl w:val="0"/>
          <w:numId w:val="9"/>
        </w:numPr>
        <w:autoSpaceDE w:val="0"/>
        <w:autoSpaceDN w:val="0"/>
        <w:adjustRightInd w:val="0"/>
        <w:rPr>
          <w:rFonts w:cs="Calibri"/>
          <w:sz w:val="24"/>
          <w:szCs w:val="24"/>
        </w:rPr>
      </w:pPr>
      <w:r w:rsidRPr="00812590">
        <w:rPr>
          <w:rFonts w:eastAsia="Times New Roman" w:cstheme="minorHAnsi"/>
          <w:sz w:val="24"/>
          <w:szCs w:val="24"/>
        </w:rPr>
        <w:t>S</w:t>
      </w:r>
      <w:r w:rsidRPr="006B005F">
        <w:rPr>
          <w:rFonts w:eastAsia="Times New Roman" w:cstheme="minorHAnsi"/>
          <w:sz w:val="24"/>
          <w:szCs w:val="24"/>
        </w:rPr>
        <w:t>har</w:t>
      </w:r>
      <w:r w:rsidRPr="00812590">
        <w:rPr>
          <w:rFonts w:eastAsia="Times New Roman" w:cstheme="minorHAnsi"/>
          <w:sz w:val="24"/>
          <w:szCs w:val="24"/>
        </w:rPr>
        <w:t>ing</w:t>
      </w:r>
      <w:r w:rsidRPr="006B005F">
        <w:rPr>
          <w:rFonts w:eastAsia="Times New Roman" w:cstheme="minorHAnsi"/>
          <w:sz w:val="24"/>
          <w:szCs w:val="24"/>
        </w:rPr>
        <w:t xml:space="preserve"> household but not bedroom</w:t>
      </w:r>
    </w:p>
    <w:p w14:paraId="40EB6218" w14:textId="5AB847D1" w:rsidR="001D38C4" w:rsidRPr="00812590" w:rsidRDefault="001D38C4" w:rsidP="001D38C4">
      <w:pPr>
        <w:pStyle w:val="ListParagraph"/>
        <w:numPr>
          <w:ilvl w:val="0"/>
          <w:numId w:val="9"/>
        </w:numPr>
        <w:autoSpaceDE w:val="0"/>
        <w:autoSpaceDN w:val="0"/>
        <w:adjustRightInd w:val="0"/>
        <w:rPr>
          <w:rFonts w:cs="Calibri"/>
          <w:sz w:val="24"/>
          <w:szCs w:val="24"/>
        </w:rPr>
      </w:pPr>
      <w:r w:rsidRPr="00812590">
        <w:rPr>
          <w:rFonts w:cs="Calibri"/>
          <w:sz w:val="24"/>
          <w:szCs w:val="24"/>
        </w:rPr>
        <w:t>Combination of having at least one GTCS and not sharing a bedroom with someone</w:t>
      </w:r>
    </w:p>
    <w:p w14:paraId="6AA7F710" w14:textId="123094C4" w:rsidR="004F755A" w:rsidRPr="00812590" w:rsidRDefault="004F755A" w:rsidP="004F755A">
      <w:pPr>
        <w:pStyle w:val="ListParagraph"/>
        <w:numPr>
          <w:ilvl w:val="0"/>
          <w:numId w:val="9"/>
        </w:numPr>
        <w:autoSpaceDE w:val="0"/>
        <w:autoSpaceDN w:val="0"/>
        <w:adjustRightInd w:val="0"/>
        <w:rPr>
          <w:rFonts w:cs="Calibri"/>
          <w:sz w:val="24"/>
          <w:szCs w:val="24"/>
        </w:rPr>
      </w:pPr>
      <w:r w:rsidRPr="00812590">
        <w:rPr>
          <w:rFonts w:eastAsia="Times New Roman" w:cstheme="minorHAnsi"/>
          <w:sz w:val="24"/>
          <w:szCs w:val="24"/>
        </w:rPr>
        <w:t>P</w:t>
      </w:r>
      <w:r w:rsidRPr="006B005F">
        <w:rPr>
          <w:rFonts w:eastAsia="Times New Roman" w:cstheme="minorHAnsi"/>
          <w:sz w:val="24"/>
          <w:szCs w:val="24"/>
        </w:rPr>
        <w:t>revious diagnosis of substance abuse or alcohol dependence</w:t>
      </w:r>
      <w:r w:rsidRPr="00812590">
        <w:rPr>
          <w:rFonts w:eastAsia="Times New Roman" w:cstheme="minorHAnsi"/>
          <w:sz w:val="24"/>
          <w:szCs w:val="24"/>
        </w:rPr>
        <w:t xml:space="preserve"> (two-fold risk)</w:t>
      </w:r>
    </w:p>
    <w:p w14:paraId="32E36CFB" w14:textId="47E2F7A0" w:rsidR="00D70C71" w:rsidRPr="00812590" w:rsidRDefault="00D70C71" w:rsidP="00D70C71">
      <w:pPr>
        <w:autoSpaceDE w:val="0"/>
        <w:autoSpaceDN w:val="0"/>
        <w:adjustRightInd w:val="0"/>
        <w:rPr>
          <w:rFonts w:cs="Calibri"/>
          <w:b/>
          <w:bCs/>
          <w:sz w:val="24"/>
          <w:szCs w:val="24"/>
        </w:rPr>
      </w:pPr>
      <w:r w:rsidRPr="00812590">
        <w:rPr>
          <w:rFonts w:cs="Calibri"/>
          <w:b/>
          <w:bCs/>
          <w:sz w:val="24"/>
          <w:szCs w:val="24"/>
        </w:rPr>
        <w:t>Low</w:t>
      </w:r>
      <w:r w:rsidR="004F755A" w:rsidRPr="00812590">
        <w:rPr>
          <w:rFonts w:cs="Calibri"/>
          <w:b/>
          <w:bCs/>
          <w:sz w:val="24"/>
          <w:szCs w:val="24"/>
        </w:rPr>
        <w:t xml:space="preserve"> to unknown</w:t>
      </w:r>
      <w:r w:rsidRPr="00812590">
        <w:rPr>
          <w:rFonts w:cs="Calibri"/>
          <w:b/>
          <w:bCs/>
          <w:sz w:val="24"/>
          <w:szCs w:val="24"/>
        </w:rPr>
        <w:t xml:space="preserve"> risk</w:t>
      </w:r>
    </w:p>
    <w:p w14:paraId="37CC8D62" w14:textId="1F76EE06" w:rsidR="003161F0" w:rsidRPr="00812590" w:rsidRDefault="00A24565" w:rsidP="00D70C71">
      <w:pPr>
        <w:pStyle w:val="ListParagraph"/>
        <w:numPr>
          <w:ilvl w:val="0"/>
          <w:numId w:val="10"/>
        </w:numPr>
        <w:autoSpaceDE w:val="0"/>
        <w:autoSpaceDN w:val="0"/>
        <w:adjustRightInd w:val="0"/>
        <w:rPr>
          <w:rFonts w:cs="Calibri"/>
          <w:sz w:val="24"/>
          <w:szCs w:val="24"/>
        </w:rPr>
      </w:pPr>
      <w:r w:rsidRPr="006B005F">
        <w:rPr>
          <w:rFonts w:eastAsia="Times New Roman" w:cstheme="minorHAnsi"/>
          <w:sz w:val="24"/>
          <w:szCs w:val="24"/>
        </w:rPr>
        <w:t xml:space="preserve">Mental health disorders </w:t>
      </w:r>
      <w:r w:rsidR="008417FA">
        <w:rPr>
          <w:rFonts w:eastAsia="Times New Roman" w:cstheme="minorHAnsi"/>
          <w:sz w:val="24"/>
          <w:szCs w:val="24"/>
        </w:rPr>
        <w:t>were</w:t>
      </w:r>
      <w:r w:rsidRPr="006B005F">
        <w:rPr>
          <w:rFonts w:eastAsia="Times New Roman" w:cstheme="minorHAnsi"/>
          <w:sz w:val="24"/>
          <w:szCs w:val="24"/>
        </w:rPr>
        <w:t xml:space="preserve"> not associated with increased SUDEP risk</w:t>
      </w:r>
    </w:p>
    <w:p w14:paraId="23E44EFB" w14:textId="77777777" w:rsidR="00051728" w:rsidRPr="00812590" w:rsidRDefault="00051728" w:rsidP="00051728">
      <w:pPr>
        <w:pStyle w:val="ListParagraph"/>
        <w:numPr>
          <w:ilvl w:val="0"/>
          <w:numId w:val="10"/>
        </w:numPr>
        <w:autoSpaceDE w:val="0"/>
        <w:autoSpaceDN w:val="0"/>
        <w:adjustRightInd w:val="0"/>
        <w:rPr>
          <w:rFonts w:cs="Calibri"/>
          <w:sz w:val="24"/>
          <w:szCs w:val="24"/>
        </w:rPr>
      </w:pPr>
      <w:proofErr w:type="spellStart"/>
      <w:r w:rsidRPr="00812590">
        <w:rPr>
          <w:rFonts w:cs="Calibri"/>
          <w:sz w:val="24"/>
          <w:szCs w:val="24"/>
        </w:rPr>
        <w:t>Lesional</w:t>
      </w:r>
      <w:proofErr w:type="spellEnd"/>
      <w:r w:rsidRPr="00812590">
        <w:rPr>
          <w:rFonts w:cs="Calibri"/>
          <w:sz w:val="24"/>
          <w:szCs w:val="24"/>
        </w:rPr>
        <w:t xml:space="preserve"> epilepsy</w:t>
      </w:r>
    </w:p>
    <w:p w14:paraId="67295941" w14:textId="03B84E4B" w:rsidR="00051728" w:rsidRPr="00812590" w:rsidRDefault="00051728" w:rsidP="004D6F07">
      <w:pPr>
        <w:pStyle w:val="ListParagraph"/>
        <w:numPr>
          <w:ilvl w:val="0"/>
          <w:numId w:val="10"/>
        </w:numPr>
        <w:autoSpaceDE w:val="0"/>
        <w:autoSpaceDN w:val="0"/>
        <w:adjustRightInd w:val="0"/>
        <w:rPr>
          <w:rFonts w:cs="Calibri"/>
          <w:sz w:val="24"/>
          <w:szCs w:val="24"/>
        </w:rPr>
      </w:pPr>
      <w:r w:rsidRPr="00812590">
        <w:rPr>
          <w:rFonts w:cs="Calibri"/>
          <w:sz w:val="24"/>
          <w:szCs w:val="24"/>
        </w:rPr>
        <w:t>Sudden withdrawal of antiepileptic drugs</w:t>
      </w:r>
    </w:p>
    <w:p w14:paraId="385211B1" w14:textId="50A054F5" w:rsidR="00051728" w:rsidRPr="00812590" w:rsidRDefault="00051728" w:rsidP="004D6F07">
      <w:pPr>
        <w:pStyle w:val="ListParagraph"/>
        <w:numPr>
          <w:ilvl w:val="0"/>
          <w:numId w:val="10"/>
        </w:numPr>
        <w:autoSpaceDE w:val="0"/>
        <w:autoSpaceDN w:val="0"/>
        <w:adjustRightInd w:val="0"/>
        <w:rPr>
          <w:rFonts w:cs="Calibri"/>
          <w:sz w:val="24"/>
          <w:szCs w:val="24"/>
        </w:rPr>
      </w:pPr>
      <w:r w:rsidRPr="00812590">
        <w:rPr>
          <w:rFonts w:cs="Calibri"/>
          <w:sz w:val="24"/>
          <w:szCs w:val="24"/>
        </w:rPr>
        <w:t>Frequent and abrupt changes to medication</w:t>
      </w:r>
    </w:p>
    <w:p w14:paraId="2B452EA4" w14:textId="09ADABBE" w:rsidR="00051728" w:rsidRPr="00812590" w:rsidRDefault="00051728" w:rsidP="004D6F07">
      <w:pPr>
        <w:pStyle w:val="ListParagraph"/>
        <w:numPr>
          <w:ilvl w:val="0"/>
          <w:numId w:val="10"/>
        </w:numPr>
        <w:autoSpaceDE w:val="0"/>
        <w:autoSpaceDN w:val="0"/>
        <w:adjustRightInd w:val="0"/>
        <w:rPr>
          <w:rFonts w:cs="Calibri"/>
          <w:sz w:val="24"/>
          <w:szCs w:val="24"/>
        </w:rPr>
      </w:pPr>
      <w:r w:rsidRPr="00812590">
        <w:rPr>
          <w:rFonts w:cs="Calibri"/>
          <w:sz w:val="24"/>
          <w:szCs w:val="24"/>
        </w:rPr>
        <w:t>Duration of epilepsy</w:t>
      </w:r>
    </w:p>
    <w:p w14:paraId="7928D809" w14:textId="30CE7EBA" w:rsidR="00D70C71" w:rsidRPr="00812590" w:rsidRDefault="00051728" w:rsidP="00462CDA">
      <w:pPr>
        <w:pStyle w:val="ListParagraph"/>
        <w:numPr>
          <w:ilvl w:val="0"/>
          <w:numId w:val="10"/>
        </w:numPr>
        <w:autoSpaceDE w:val="0"/>
        <w:autoSpaceDN w:val="0"/>
        <w:adjustRightInd w:val="0"/>
        <w:rPr>
          <w:rFonts w:cs="Calibri"/>
          <w:sz w:val="24"/>
          <w:szCs w:val="24"/>
        </w:rPr>
      </w:pPr>
      <w:r w:rsidRPr="00812590">
        <w:rPr>
          <w:rFonts w:cs="Calibri"/>
          <w:sz w:val="24"/>
          <w:szCs w:val="24"/>
        </w:rPr>
        <w:t>Age of onset</w:t>
      </w:r>
    </w:p>
    <w:p w14:paraId="2A46346D" w14:textId="034C4709" w:rsidR="006B005F" w:rsidRPr="006B005F" w:rsidRDefault="00A24565" w:rsidP="00145EE1">
      <w:pPr>
        <w:spacing w:before="100" w:beforeAutospacing="1" w:after="100" w:afterAutospacing="1" w:line="240" w:lineRule="auto"/>
        <w:outlineLvl w:val="2"/>
        <w:rPr>
          <w:rFonts w:eastAsia="Times New Roman" w:cstheme="minorHAnsi"/>
          <w:b/>
          <w:bCs/>
          <w:sz w:val="24"/>
          <w:szCs w:val="24"/>
        </w:rPr>
      </w:pPr>
      <w:r w:rsidRPr="00812590">
        <w:rPr>
          <w:rFonts w:eastAsia="Times New Roman" w:cstheme="minorHAnsi"/>
          <w:b/>
          <w:bCs/>
          <w:sz w:val="24"/>
          <w:szCs w:val="24"/>
        </w:rPr>
        <w:t>Reduced risk</w:t>
      </w:r>
    </w:p>
    <w:p w14:paraId="62560D37" w14:textId="77777777" w:rsidR="006B005F" w:rsidRPr="006B005F" w:rsidRDefault="006B005F" w:rsidP="006B005F">
      <w:pPr>
        <w:numPr>
          <w:ilvl w:val="0"/>
          <w:numId w:val="2"/>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Both monotherapy and polytherapy were associated with a reduced risk.</w:t>
      </w:r>
    </w:p>
    <w:p w14:paraId="1A45EC19" w14:textId="77777777" w:rsidR="006B005F" w:rsidRPr="006B005F" w:rsidRDefault="006B005F" w:rsidP="006B005F">
      <w:pPr>
        <w:numPr>
          <w:ilvl w:val="0"/>
          <w:numId w:val="2"/>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Epilepsy surgery was not associated with increased or reduced risk.</w:t>
      </w:r>
    </w:p>
    <w:p w14:paraId="4A4A8275" w14:textId="518F08A6" w:rsidR="006B005F" w:rsidRPr="006B005F" w:rsidRDefault="006B005F" w:rsidP="00462CDA">
      <w:pPr>
        <w:numPr>
          <w:ilvl w:val="0"/>
          <w:numId w:val="2"/>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Vagus nerve stimulation was associated with a 59% reduced risk.</w:t>
      </w:r>
    </w:p>
    <w:p w14:paraId="08314E93" w14:textId="1C595EDB" w:rsidR="00EB5000" w:rsidRDefault="00EB5000" w:rsidP="00EB5000">
      <w:pPr>
        <w:spacing w:before="100" w:beforeAutospacing="1" w:after="100" w:afterAutospacing="1" w:line="240" w:lineRule="auto"/>
        <w:rPr>
          <w:rFonts w:eastAsia="Times New Roman" w:cstheme="minorHAnsi"/>
          <w:sz w:val="24"/>
          <w:szCs w:val="24"/>
        </w:rPr>
      </w:pPr>
    </w:p>
    <w:p w14:paraId="2B98BC7F" w14:textId="77777777" w:rsidR="00EB5000" w:rsidRPr="006B005F" w:rsidRDefault="00EB5000" w:rsidP="00EB5000">
      <w:pPr>
        <w:spacing w:before="100" w:beforeAutospacing="1" w:after="100" w:afterAutospacing="1" w:line="240" w:lineRule="auto"/>
        <w:rPr>
          <w:rFonts w:eastAsia="Times New Roman" w:cstheme="minorHAnsi"/>
          <w:sz w:val="24"/>
          <w:szCs w:val="24"/>
        </w:rPr>
      </w:pPr>
    </w:p>
    <w:p w14:paraId="402FD535" w14:textId="4FB6F223" w:rsidR="006B005F" w:rsidRPr="006B005F" w:rsidRDefault="006B005F" w:rsidP="0060309F">
      <w:pPr>
        <w:pStyle w:val="Custtitle"/>
      </w:pPr>
      <w:r w:rsidRPr="006B005F">
        <w:t xml:space="preserve">How to </w:t>
      </w:r>
      <w:r w:rsidR="006D6899" w:rsidRPr="00812590">
        <w:t>minimize</w:t>
      </w:r>
      <w:r w:rsidRPr="006B005F">
        <w:t xml:space="preserve"> the risk of SUDEP?</w:t>
      </w:r>
    </w:p>
    <w:p w14:paraId="06131731" w14:textId="77777777" w:rsidR="006B005F" w:rsidRPr="006B005F" w:rsidRDefault="006D6899" w:rsidP="006B005F">
      <w:pPr>
        <w:spacing w:before="100" w:beforeAutospacing="1" w:after="100" w:afterAutospacing="1" w:line="240" w:lineRule="auto"/>
        <w:rPr>
          <w:rFonts w:eastAsia="Times New Roman" w:cstheme="minorHAnsi"/>
          <w:sz w:val="24"/>
          <w:szCs w:val="24"/>
        </w:rPr>
      </w:pPr>
      <w:r w:rsidRPr="00812590">
        <w:rPr>
          <w:rFonts w:eastAsia="Times New Roman" w:cstheme="minorHAnsi"/>
          <w:sz w:val="24"/>
          <w:szCs w:val="24"/>
        </w:rPr>
        <w:t>Optimizing</w:t>
      </w:r>
      <w:r w:rsidR="006B005F" w:rsidRPr="006B005F">
        <w:rPr>
          <w:rFonts w:eastAsia="Times New Roman" w:cstheme="minorHAnsi"/>
          <w:sz w:val="24"/>
          <w:szCs w:val="24"/>
        </w:rPr>
        <w:t xml:space="preserve"> management of the epilepsy and striving for seizure freedom, where possible, should remain at the forefront of preventive care. This includes accurate diagnosis, using appropriate AEDs and referring for tertiary </w:t>
      </w:r>
      <w:r w:rsidRPr="00812590">
        <w:rPr>
          <w:rFonts w:eastAsia="Times New Roman" w:cstheme="minorHAnsi"/>
          <w:sz w:val="24"/>
          <w:szCs w:val="24"/>
        </w:rPr>
        <w:t>centers</w:t>
      </w:r>
      <w:r w:rsidR="006B005F" w:rsidRPr="006B005F">
        <w:rPr>
          <w:rFonts w:eastAsia="Times New Roman" w:cstheme="minorHAnsi"/>
          <w:sz w:val="24"/>
          <w:szCs w:val="24"/>
        </w:rPr>
        <w:t xml:space="preserve"> at an early stage in case of refractory epilepsy are the main stays of risk reduction. The following steps are helpful for professionals involved in care of children and young persons with epilepsy.</w:t>
      </w:r>
    </w:p>
    <w:p w14:paraId="256D6A79"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Nocturnal supervision (age appropriate and consider privacy)</w:t>
      </w:r>
    </w:p>
    <w:p w14:paraId="719A7C38"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Raising the awareness of risks with epilepsy including SUDEP</w:t>
      </w:r>
    </w:p>
    <w:p w14:paraId="4E9C6F7F" w14:textId="73853D39"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 xml:space="preserve">Identifying and </w:t>
      </w:r>
      <w:r w:rsidR="006D6899" w:rsidRPr="00812590">
        <w:rPr>
          <w:rFonts w:eastAsia="Times New Roman" w:cstheme="minorHAnsi"/>
          <w:sz w:val="24"/>
          <w:szCs w:val="24"/>
        </w:rPr>
        <w:t>minimizing</w:t>
      </w:r>
      <w:r w:rsidRPr="006B005F">
        <w:rPr>
          <w:rFonts w:eastAsia="Times New Roman" w:cstheme="minorHAnsi"/>
          <w:sz w:val="24"/>
          <w:szCs w:val="24"/>
        </w:rPr>
        <w:t xml:space="preserve"> triggers for seizures</w:t>
      </w:r>
    </w:p>
    <w:p w14:paraId="626E3E6A"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Encouraging compliance / adherence</w:t>
      </w:r>
    </w:p>
    <w:p w14:paraId="3A5D5C33"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Regular reviews</w:t>
      </w:r>
    </w:p>
    <w:p w14:paraId="2AA6D563"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Monitoring including self-monitoring by young adults using technology</w:t>
      </w:r>
    </w:p>
    <w:p w14:paraId="5D550E08"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In refractory epilepsy consider earlier involvement of tertiary centres and referral for ketogenic diet or epilepsy surgery when appropriate</w:t>
      </w:r>
    </w:p>
    <w:p w14:paraId="2308254C"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Use of SUDEP safety checklist (</w:t>
      </w:r>
      <w:hyperlink r:id="rId9" w:history="1">
        <w:r w:rsidRPr="006B005F">
          <w:rPr>
            <w:rFonts w:eastAsia="Times New Roman" w:cstheme="minorHAnsi"/>
            <w:color w:val="0000FF"/>
            <w:sz w:val="24"/>
            <w:szCs w:val="24"/>
            <w:u w:val="single"/>
          </w:rPr>
          <w:t>www.sudep.org</w:t>
        </w:r>
      </w:hyperlink>
      <w:r w:rsidRPr="006B005F">
        <w:rPr>
          <w:rFonts w:eastAsia="Times New Roman" w:cstheme="minorHAnsi"/>
          <w:sz w:val="24"/>
          <w:szCs w:val="24"/>
        </w:rPr>
        <w:t>)</w:t>
      </w:r>
    </w:p>
    <w:p w14:paraId="0A8B86AA" w14:textId="77777777" w:rsidR="006B005F" w:rsidRPr="006B005F" w:rsidRDefault="006B005F" w:rsidP="006B005F">
      <w:pPr>
        <w:numPr>
          <w:ilvl w:val="0"/>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 xml:space="preserve">May recommend safety devices for seizures in sleep </w:t>
      </w:r>
    </w:p>
    <w:p w14:paraId="25B9E820" w14:textId="77777777" w:rsidR="006B005F" w:rsidRPr="006B005F" w:rsidRDefault="006B005F" w:rsidP="006B005F">
      <w:pPr>
        <w:numPr>
          <w:ilvl w:val="1"/>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Anti-suffocation pillow</w:t>
      </w:r>
    </w:p>
    <w:p w14:paraId="680AC839" w14:textId="77777777" w:rsidR="006B005F" w:rsidRPr="006B005F" w:rsidRDefault="006B005F" w:rsidP="006B005F">
      <w:pPr>
        <w:numPr>
          <w:ilvl w:val="1"/>
          <w:numId w:val="5"/>
        </w:numPr>
        <w:spacing w:before="100" w:beforeAutospacing="1" w:after="100" w:afterAutospacing="1" w:line="240" w:lineRule="auto"/>
        <w:rPr>
          <w:rFonts w:eastAsia="Times New Roman" w:cstheme="minorHAnsi"/>
          <w:sz w:val="24"/>
          <w:szCs w:val="24"/>
        </w:rPr>
      </w:pPr>
      <w:r w:rsidRPr="006B005F">
        <w:rPr>
          <w:rFonts w:eastAsia="Times New Roman" w:cstheme="minorHAnsi"/>
          <w:sz w:val="24"/>
          <w:szCs w:val="24"/>
        </w:rPr>
        <w:t>Apnoea/seizure monitor</w:t>
      </w:r>
    </w:p>
    <w:p w14:paraId="7ED3414F" w14:textId="77777777" w:rsidR="009A384D" w:rsidRPr="00812590" w:rsidRDefault="009A384D" w:rsidP="0060309F">
      <w:pPr>
        <w:pStyle w:val="Custtitle"/>
      </w:pPr>
      <w:r w:rsidRPr="00812590">
        <w:t>Discussion about SUDEP</w:t>
      </w:r>
    </w:p>
    <w:p w14:paraId="097D7002" w14:textId="77777777" w:rsidR="009A384D" w:rsidRPr="00812590" w:rsidRDefault="009A384D" w:rsidP="009A384D">
      <w:pPr>
        <w:pStyle w:val="Heading3"/>
        <w:rPr>
          <w:rFonts w:asciiTheme="minorHAnsi" w:hAnsiTheme="minorHAnsi" w:cstheme="minorHAnsi"/>
          <w:sz w:val="24"/>
          <w:szCs w:val="24"/>
        </w:rPr>
      </w:pPr>
      <w:r w:rsidRPr="00812590">
        <w:rPr>
          <w:rFonts w:asciiTheme="minorHAnsi" w:hAnsiTheme="minorHAnsi" w:cstheme="minorHAnsi"/>
          <w:sz w:val="24"/>
          <w:szCs w:val="24"/>
        </w:rPr>
        <w:t>What is the right time for the initiation of discussion?</w:t>
      </w:r>
    </w:p>
    <w:p w14:paraId="2C3EBD64" w14:textId="77777777" w:rsidR="009A384D" w:rsidRPr="00812590" w:rsidRDefault="009A384D" w:rsidP="009A384D">
      <w:pPr>
        <w:pStyle w:val="NormalWeb"/>
        <w:rPr>
          <w:rFonts w:asciiTheme="minorHAnsi" w:hAnsiTheme="minorHAnsi" w:cstheme="minorHAnsi"/>
        </w:rPr>
      </w:pPr>
      <w:r w:rsidRPr="00812590">
        <w:rPr>
          <w:rFonts w:asciiTheme="minorHAnsi" w:hAnsiTheme="minorHAnsi" w:cstheme="minorHAnsi"/>
        </w:rPr>
        <w:t>It is still a contentious issue as to the initiation and right timing of discussion of SUDEP with families with children and young adults with epilepsy. Some professionals argue that the risk of SUDEP is minimal in children, therefore, the introduction of the topic would cause undue stress/ worry and may break professional relationships with the family. On the contrary, it is easier to initiate discussion at the time of diagnosis as seizure freedom is still the goal of treatment. Parents who have witnessed the first seizure carry a strong impression of life threat. Therefore, discussion about SUDEP during initial professional contact may be appropriate as realizing the true risk may be less daunting than true experience. SUDEP discussion should be done with family and young adults at some point during the journey if not made during the initial days. NICE (CG 137) recommends that “Tailored information and discussion between child, young person or adult with epilepsy, their family and/or carers (as appropriate) and health care professionals should take account of the small but definite risk of SUDEP”.</w:t>
      </w:r>
    </w:p>
    <w:p w14:paraId="7DF475CC" w14:textId="77777777" w:rsidR="009A384D" w:rsidRPr="00812590" w:rsidRDefault="009A384D" w:rsidP="009A384D">
      <w:pPr>
        <w:pStyle w:val="NormalWeb"/>
        <w:rPr>
          <w:rFonts w:asciiTheme="minorHAnsi" w:hAnsiTheme="minorHAnsi" w:cstheme="minorHAnsi"/>
          <w:i/>
          <w:iCs/>
        </w:rPr>
      </w:pPr>
      <w:r w:rsidRPr="00812590">
        <w:rPr>
          <w:rFonts w:asciiTheme="minorHAnsi" w:hAnsiTheme="minorHAnsi" w:cstheme="minorHAnsi"/>
          <w:i/>
          <w:iCs/>
        </w:rPr>
        <w:lastRenderedPageBreak/>
        <w:t>EPEN recommends that discussion about all risks relating to seizures (including SUDEP when appropriate) and treatment should be made at an early stage, near to the time of diagnosis</w:t>
      </w:r>
    </w:p>
    <w:p w14:paraId="544EAF6E" w14:textId="77777777" w:rsidR="00EB5000" w:rsidRPr="00812590" w:rsidRDefault="00EB5000" w:rsidP="009A384D">
      <w:pPr>
        <w:pStyle w:val="NormalWeb"/>
        <w:rPr>
          <w:rFonts w:asciiTheme="minorHAnsi" w:hAnsiTheme="minorHAnsi" w:cstheme="minorHAnsi"/>
          <w:i/>
          <w:iCs/>
        </w:rPr>
      </w:pPr>
    </w:p>
    <w:p w14:paraId="26581676" w14:textId="77777777" w:rsidR="009A384D" w:rsidRPr="00812590" w:rsidRDefault="009A384D" w:rsidP="009A384D">
      <w:pPr>
        <w:pStyle w:val="Heading3"/>
        <w:rPr>
          <w:rFonts w:asciiTheme="minorHAnsi" w:hAnsiTheme="minorHAnsi" w:cstheme="minorHAnsi"/>
          <w:sz w:val="24"/>
          <w:szCs w:val="24"/>
        </w:rPr>
      </w:pPr>
      <w:r w:rsidRPr="00812590">
        <w:rPr>
          <w:rFonts w:asciiTheme="minorHAnsi" w:hAnsiTheme="minorHAnsi" w:cstheme="minorHAnsi"/>
          <w:sz w:val="24"/>
          <w:szCs w:val="24"/>
        </w:rPr>
        <w:t>Conditions where it is appropriate to discuss</w:t>
      </w:r>
    </w:p>
    <w:p w14:paraId="54C93216" w14:textId="09B2DD7F" w:rsidR="0060309F" w:rsidRDefault="009A384D" w:rsidP="009A384D">
      <w:pPr>
        <w:pStyle w:val="NormalWeb"/>
        <w:rPr>
          <w:rFonts w:asciiTheme="minorHAnsi" w:hAnsiTheme="minorHAnsi" w:cstheme="minorHAnsi"/>
        </w:rPr>
      </w:pPr>
      <w:r w:rsidRPr="00812590">
        <w:rPr>
          <w:rFonts w:asciiTheme="minorHAnsi" w:hAnsiTheme="minorHAnsi" w:cstheme="minorHAnsi"/>
        </w:rPr>
        <w:t>EPEN recommends initiating the discussion about SUDEP under these broad guidelines which are not restrictive. Discussion should be sensitive and consider the child or young adult’s emotional maturity.</w:t>
      </w:r>
    </w:p>
    <w:p w14:paraId="2DE7FAF3" w14:textId="77777777" w:rsidR="005A02C9" w:rsidRPr="00812590" w:rsidRDefault="005A02C9" w:rsidP="009A384D">
      <w:pPr>
        <w:pStyle w:val="NormalWeb"/>
        <w:rPr>
          <w:rFonts w:asciiTheme="minorHAnsi" w:hAnsiTheme="minorHAnsi" w:cstheme="minorHAnsi"/>
        </w:rPr>
      </w:pPr>
    </w:p>
    <w:p w14:paraId="0C976700" w14:textId="77777777" w:rsidR="00B35719" w:rsidRPr="00812590" w:rsidRDefault="009A384D" w:rsidP="00B35719">
      <w:pPr>
        <w:pStyle w:val="NormalWeb"/>
        <w:rPr>
          <w:rFonts w:asciiTheme="minorHAnsi" w:hAnsiTheme="minorHAnsi" w:cstheme="minorHAnsi"/>
        </w:rPr>
      </w:pPr>
      <w:r w:rsidRPr="00812590">
        <w:rPr>
          <w:rStyle w:val="Emphasis"/>
          <w:rFonts w:asciiTheme="minorHAnsi" w:hAnsiTheme="minorHAnsi" w:cstheme="minorHAnsi"/>
        </w:rPr>
        <w:t xml:space="preserve">SUDEP </w:t>
      </w:r>
      <w:r w:rsidRPr="00812590">
        <w:rPr>
          <w:rStyle w:val="Emphasis"/>
          <w:rFonts w:asciiTheme="minorHAnsi" w:hAnsiTheme="minorHAnsi" w:cstheme="minorHAnsi"/>
          <w:b/>
          <w:bCs/>
        </w:rPr>
        <w:t>should always</w:t>
      </w:r>
      <w:r w:rsidRPr="00812590">
        <w:rPr>
          <w:rStyle w:val="Emphasis"/>
          <w:rFonts w:asciiTheme="minorHAnsi" w:hAnsiTheme="minorHAnsi" w:cstheme="minorHAnsi"/>
        </w:rPr>
        <w:t xml:space="preserve"> be discussed with families of children</w:t>
      </w:r>
      <w:r w:rsidR="00B35719" w:rsidRPr="00812590">
        <w:rPr>
          <w:rFonts w:asciiTheme="minorHAnsi" w:hAnsiTheme="minorHAnsi" w:cstheme="minorHAnsi"/>
        </w:rPr>
        <w:t>:</w:t>
      </w:r>
    </w:p>
    <w:p w14:paraId="08B7AE93" w14:textId="0FD0D4C4" w:rsidR="009A384D" w:rsidRPr="00812590" w:rsidRDefault="009A384D" w:rsidP="00B35719">
      <w:pPr>
        <w:pStyle w:val="NormalWeb"/>
        <w:numPr>
          <w:ilvl w:val="1"/>
          <w:numId w:val="3"/>
        </w:numPr>
        <w:rPr>
          <w:rFonts w:asciiTheme="minorHAnsi" w:hAnsiTheme="minorHAnsi" w:cstheme="minorHAnsi"/>
        </w:rPr>
      </w:pPr>
      <w:r w:rsidRPr="00812590">
        <w:rPr>
          <w:rFonts w:asciiTheme="minorHAnsi" w:hAnsiTheme="minorHAnsi" w:cstheme="minorHAnsi"/>
        </w:rPr>
        <w:t>With generalized tonic-clonic seizures (GTCS)</w:t>
      </w:r>
    </w:p>
    <w:p w14:paraId="62DC6781" w14:textId="044CDA5A" w:rsidR="009A384D" w:rsidRPr="00812590" w:rsidRDefault="009A384D" w:rsidP="00B35719">
      <w:pPr>
        <w:pStyle w:val="NormalWeb"/>
        <w:numPr>
          <w:ilvl w:val="1"/>
          <w:numId w:val="3"/>
        </w:numPr>
        <w:rPr>
          <w:rFonts w:asciiTheme="minorHAnsi" w:hAnsiTheme="minorHAnsi" w:cstheme="minorHAnsi"/>
        </w:rPr>
      </w:pPr>
      <w:r w:rsidRPr="00812590">
        <w:rPr>
          <w:rFonts w:asciiTheme="minorHAnsi" w:hAnsiTheme="minorHAnsi" w:cstheme="minorHAnsi"/>
        </w:rPr>
        <w:t>With symptomatic epilepsy, (i.e. epilepsy in the context of a structural brain</w:t>
      </w:r>
      <w:r w:rsidR="00B35719" w:rsidRPr="00812590">
        <w:rPr>
          <w:rFonts w:asciiTheme="minorHAnsi" w:hAnsiTheme="minorHAnsi" w:cstheme="minorHAnsi"/>
        </w:rPr>
        <w:t xml:space="preserve"> </w:t>
      </w:r>
      <w:r w:rsidRPr="00812590">
        <w:rPr>
          <w:rFonts w:asciiTheme="minorHAnsi" w:hAnsiTheme="minorHAnsi" w:cstheme="minorHAnsi"/>
        </w:rPr>
        <w:t>abnormality, metabolic disorder or neurodegenerative disorder)</w:t>
      </w:r>
    </w:p>
    <w:p w14:paraId="3C7BB474" w14:textId="4601992A" w:rsidR="009A384D" w:rsidRPr="00812590" w:rsidRDefault="009A384D" w:rsidP="00B35719">
      <w:pPr>
        <w:pStyle w:val="NormalWeb"/>
        <w:numPr>
          <w:ilvl w:val="1"/>
          <w:numId w:val="3"/>
        </w:numPr>
        <w:rPr>
          <w:rFonts w:asciiTheme="minorHAnsi" w:hAnsiTheme="minorHAnsi" w:cstheme="minorHAnsi"/>
        </w:rPr>
      </w:pPr>
      <w:r w:rsidRPr="00812590">
        <w:rPr>
          <w:rFonts w:asciiTheme="minorHAnsi" w:hAnsiTheme="minorHAnsi" w:cstheme="minorHAnsi"/>
        </w:rPr>
        <w:t>With drug-resistant epilepsy especially tonic-clonic seizures</w:t>
      </w:r>
    </w:p>
    <w:p w14:paraId="70C691E4" w14:textId="680C22F5" w:rsidR="009A384D" w:rsidRPr="00812590" w:rsidRDefault="009A384D" w:rsidP="00B35719">
      <w:pPr>
        <w:pStyle w:val="NormalWeb"/>
        <w:numPr>
          <w:ilvl w:val="1"/>
          <w:numId w:val="3"/>
        </w:numPr>
        <w:rPr>
          <w:rFonts w:asciiTheme="minorHAnsi" w:hAnsiTheme="minorHAnsi" w:cstheme="minorHAnsi"/>
        </w:rPr>
      </w:pPr>
      <w:r w:rsidRPr="00812590">
        <w:rPr>
          <w:rFonts w:asciiTheme="minorHAnsi" w:hAnsiTheme="minorHAnsi" w:cstheme="minorHAnsi"/>
        </w:rPr>
        <w:t>With recurrent episodes of status epilepticus (+/- admissions to PICU)</w:t>
      </w:r>
    </w:p>
    <w:p w14:paraId="0CD7CA2C" w14:textId="49EA5CB5" w:rsidR="009A384D" w:rsidRPr="00812590" w:rsidRDefault="009A384D" w:rsidP="00B35719">
      <w:pPr>
        <w:pStyle w:val="NormalWeb"/>
        <w:numPr>
          <w:ilvl w:val="1"/>
          <w:numId w:val="3"/>
        </w:numPr>
        <w:rPr>
          <w:rFonts w:asciiTheme="minorHAnsi" w:hAnsiTheme="minorHAnsi" w:cstheme="minorHAnsi"/>
        </w:rPr>
      </w:pPr>
      <w:r w:rsidRPr="00812590">
        <w:rPr>
          <w:rFonts w:asciiTheme="minorHAnsi" w:hAnsiTheme="minorHAnsi" w:cstheme="minorHAnsi"/>
        </w:rPr>
        <w:t>With associated severe neurological impairment</w:t>
      </w:r>
    </w:p>
    <w:p w14:paraId="4D73B4A7" w14:textId="6C3F97E8" w:rsidR="009A384D" w:rsidRPr="00812590" w:rsidRDefault="009A384D" w:rsidP="00B35719">
      <w:pPr>
        <w:pStyle w:val="NormalWeb"/>
        <w:numPr>
          <w:ilvl w:val="1"/>
          <w:numId w:val="3"/>
        </w:numPr>
        <w:rPr>
          <w:rFonts w:asciiTheme="minorHAnsi" w:hAnsiTheme="minorHAnsi" w:cstheme="minorHAnsi"/>
        </w:rPr>
      </w:pPr>
      <w:r w:rsidRPr="00812590">
        <w:rPr>
          <w:rFonts w:asciiTheme="minorHAnsi" w:hAnsiTheme="minorHAnsi" w:cstheme="minorHAnsi"/>
        </w:rPr>
        <w:t xml:space="preserve">Who ask direct questions about death and </w:t>
      </w:r>
      <w:proofErr w:type="gramStart"/>
      <w:r w:rsidRPr="00812590">
        <w:rPr>
          <w:rFonts w:asciiTheme="minorHAnsi" w:hAnsiTheme="minorHAnsi" w:cstheme="minorHAnsi"/>
        </w:rPr>
        <w:t>epilepsy</w:t>
      </w:r>
      <w:proofErr w:type="gramEnd"/>
    </w:p>
    <w:p w14:paraId="30F07D51" w14:textId="77777777" w:rsidR="0047601A" w:rsidRPr="00812590" w:rsidRDefault="009A384D" w:rsidP="00B35719">
      <w:pPr>
        <w:pStyle w:val="NormalWeb"/>
        <w:rPr>
          <w:rFonts w:asciiTheme="minorHAnsi" w:hAnsiTheme="minorHAnsi" w:cstheme="minorHAnsi"/>
        </w:rPr>
      </w:pPr>
      <w:r w:rsidRPr="00812590">
        <w:rPr>
          <w:rStyle w:val="Emphasis"/>
          <w:rFonts w:asciiTheme="minorHAnsi" w:hAnsiTheme="minorHAnsi" w:cstheme="minorHAnsi"/>
        </w:rPr>
        <w:t xml:space="preserve">SUDEP discussion should be </w:t>
      </w:r>
      <w:r w:rsidRPr="00812590">
        <w:rPr>
          <w:rStyle w:val="Emphasis"/>
          <w:rFonts w:asciiTheme="minorHAnsi" w:hAnsiTheme="minorHAnsi" w:cstheme="minorHAnsi"/>
          <w:b/>
          <w:bCs/>
        </w:rPr>
        <w:t>considered</w:t>
      </w:r>
      <w:r w:rsidRPr="00812590">
        <w:rPr>
          <w:rStyle w:val="Emphasis"/>
          <w:rFonts w:asciiTheme="minorHAnsi" w:hAnsiTheme="minorHAnsi" w:cstheme="minorHAnsi"/>
        </w:rPr>
        <w:t xml:space="preserve"> in children:</w:t>
      </w:r>
    </w:p>
    <w:p w14:paraId="20299207" w14:textId="076A4D74"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With additional learning and physical difficulties</w:t>
      </w:r>
    </w:p>
    <w:p w14:paraId="75D3E271" w14:textId="12329DD2"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Who are not complying with treatment</w:t>
      </w:r>
    </w:p>
    <w:p w14:paraId="5CA30954" w14:textId="27410E2D"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Who are resisting treatment</w:t>
      </w:r>
    </w:p>
    <w:p w14:paraId="75A9B427" w14:textId="77777777" w:rsidR="009A384D" w:rsidRPr="00812590" w:rsidRDefault="009A384D" w:rsidP="009A384D">
      <w:pPr>
        <w:pStyle w:val="NormalWeb"/>
        <w:rPr>
          <w:rFonts w:asciiTheme="minorHAnsi" w:hAnsiTheme="minorHAnsi" w:cstheme="minorHAnsi"/>
        </w:rPr>
      </w:pPr>
      <w:r w:rsidRPr="00812590">
        <w:rPr>
          <w:rStyle w:val="Emphasis"/>
          <w:rFonts w:asciiTheme="minorHAnsi" w:hAnsiTheme="minorHAnsi" w:cstheme="minorHAnsi"/>
        </w:rPr>
        <w:t xml:space="preserve">SUDEP does </w:t>
      </w:r>
      <w:r w:rsidRPr="00812590">
        <w:rPr>
          <w:rStyle w:val="Emphasis"/>
          <w:rFonts w:asciiTheme="minorHAnsi" w:hAnsiTheme="minorHAnsi" w:cstheme="minorHAnsi"/>
          <w:b/>
          <w:bCs/>
        </w:rPr>
        <w:t>not</w:t>
      </w:r>
      <w:r w:rsidRPr="00812590">
        <w:rPr>
          <w:rStyle w:val="Emphasis"/>
          <w:rFonts w:asciiTheme="minorHAnsi" w:hAnsiTheme="minorHAnsi" w:cstheme="minorHAnsi"/>
        </w:rPr>
        <w:t xml:space="preserve"> need to be routinely discussed with families of children with</w:t>
      </w:r>
    </w:p>
    <w:p w14:paraId="0A7137CE" w14:textId="50E4B887"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Benign familial infantile seizures</w:t>
      </w:r>
    </w:p>
    <w:p w14:paraId="34768239" w14:textId="2B10075A"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Childhood absence epilepsy</w:t>
      </w:r>
    </w:p>
    <w:p w14:paraId="416E9AE0" w14:textId="244C3769"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Benign partial epilepsy with centrotemporal spikes (BECTS)</w:t>
      </w:r>
    </w:p>
    <w:p w14:paraId="4B3858DE" w14:textId="1EACA69C" w:rsidR="009A384D" w:rsidRPr="00812590" w:rsidRDefault="009A384D" w:rsidP="0047601A">
      <w:pPr>
        <w:pStyle w:val="NormalWeb"/>
        <w:numPr>
          <w:ilvl w:val="1"/>
          <w:numId w:val="3"/>
        </w:numPr>
        <w:rPr>
          <w:rFonts w:asciiTheme="minorHAnsi" w:hAnsiTheme="minorHAnsi" w:cstheme="minorHAnsi"/>
        </w:rPr>
      </w:pPr>
      <w:r w:rsidRPr="00812590">
        <w:rPr>
          <w:rFonts w:asciiTheme="minorHAnsi" w:hAnsiTheme="minorHAnsi" w:cstheme="minorHAnsi"/>
        </w:rPr>
        <w:t>Well-controlled benign epilepsies</w:t>
      </w:r>
    </w:p>
    <w:p w14:paraId="4BB62027" w14:textId="77777777" w:rsidR="009A384D" w:rsidRPr="00812590" w:rsidRDefault="009A384D" w:rsidP="009A384D">
      <w:pPr>
        <w:pStyle w:val="Heading3"/>
        <w:rPr>
          <w:rFonts w:asciiTheme="minorHAnsi" w:hAnsiTheme="minorHAnsi" w:cstheme="minorHAnsi"/>
          <w:sz w:val="24"/>
          <w:szCs w:val="24"/>
        </w:rPr>
      </w:pPr>
      <w:r w:rsidRPr="00812590">
        <w:rPr>
          <w:rFonts w:asciiTheme="minorHAnsi" w:hAnsiTheme="minorHAnsi" w:cstheme="minorHAnsi"/>
          <w:sz w:val="24"/>
          <w:szCs w:val="24"/>
        </w:rPr>
        <w:t>Who should discuss this?</w:t>
      </w:r>
    </w:p>
    <w:p w14:paraId="24FC5A67" w14:textId="77777777" w:rsidR="009A384D" w:rsidRPr="00812590" w:rsidRDefault="009A384D" w:rsidP="009A384D">
      <w:pPr>
        <w:pStyle w:val="NormalWeb"/>
        <w:rPr>
          <w:rFonts w:asciiTheme="minorHAnsi" w:hAnsiTheme="minorHAnsi" w:cstheme="minorHAnsi"/>
        </w:rPr>
      </w:pPr>
      <w:r w:rsidRPr="00812590">
        <w:rPr>
          <w:rFonts w:asciiTheme="minorHAnsi" w:hAnsiTheme="minorHAnsi" w:cstheme="minorHAnsi"/>
        </w:rPr>
        <w:t>Ideally, discussion regarding SUDEP should be done in the epilepsy clinic by a consultant, or a professional with special interest and/or expertise in paediatric epilepsy.</w:t>
      </w:r>
    </w:p>
    <w:p w14:paraId="6B9B4647" w14:textId="77777777" w:rsidR="005A02C9" w:rsidRDefault="005A02C9" w:rsidP="009A384D">
      <w:pPr>
        <w:pStyle w:val="Heading3"/>
        <w:rPr>
          <w:rFonts w:asciiTheme="minorHAnsi" w:hAnsiTheme="minorHAnsi" w:cstheme="minorHAnsi"/>
          <w:sz w:val="24"/>
          <w:szCs w:val="24"/>
        </w:rPr>
      </w:pPr>
    </w:p>
    <w:p w14:paraId="49C4ECBC" w14:textId="77777777" w:rsidR="005A02C9" w:rsidRDefault="005A02C9" w:rsidP="009A384D">
      <w:pPr>
        <w:pStyle w:val="Heading3"/>
        <w:rPr>
          <w:rFonts w:asciiTheme="minorHAnsi" w:hAnsiTheme="minorHAnsi" w:cstheme="minorHAnsi"/>
          <w:sz w:val="24"/>
          <w:szCs w:val="24"/>
        </w:rPr>
      </w:pPr>
    </w:p>
    <w:p w14:paraId="0024D9EB" w14:textId="3EE3F1ED" w:rsidR="009A384D" w:rsidRPr="00812590" w:rsidRDefault="009A384D" w:rsidP="009A384D">
      <w:pPr>
        <w:pStyle w:val="Heading3"/>
        <w:rPr>
          <w:rFonts w:asciiTheme="minorHAnsi" w:hAnsiTheme="minorHAnsi" w:cstheme="minorHAnsi"/>
          <w:sz w:val="24"/>
          <w:szCs w:val="24"/>
        </w:rPr>
      </w:pPr>
      <w:r w:rsidRPr="00812590">
        <w:rPr>
          <w:rFonts w:asciiTheme="minorHAnsi" w:hAnsiTheme="minorHAnsi" w:cstheme="minorHAnsi"/>
          <w:sz w:val="24"/>
          <w:szCs w:val="24"/>
        </w:rPr>
        <w:lastRenderedPageBreak/>
        <w:t>Documentation of discussions</w:t>
      </w:r>
    </w:p>
    <w:p w14:paraId="702036E7" w14:textId="283FA712" w:rsidR="00EB5000" w:rsidRPr="00812590" w:rsidRDefault="009A384D" w:rsidP="00B83C36">
      <w:pPr>
        <w:pStyle w:val="NormalWeb"/>
        <w:rPr>
          <w:rFonts w:asciiTheme="minorHAnsi" w:hAnsiTheme="minorHAnsi" w:cstheme="minorHAnsi"/>
        </w:rPr>
      </w:pPr>
      <w:r w:rsidRPr="00812590">
        <w:rPr>
          <w:rFonts w:asciiTheme="minorHAnsi" w:hAnsiTheme="minorHAnsi" w:cstheme="minorHAnsi"/>
        </w:rPr>
        <w:t>The content of the discussion should be clearly documented in the patient’s hospital notes</w:t>
      </w:r>
      <w:r w:rsidR="00B83C36" w:rsidRPr="00812590">
        <w:rPr>
          <w:rFonts w:asciiTheme="minorHAnsi" w:hAnsiTheme="minorHAnsi" w:cstheme="minorHAnsi"/>
        </w:rPr>
        <w:t xml:space="preserve"> </w:t>
      </w:r>
      <w:r w:rsidRPr="00812590">
        <w:rPr>
          <w:rFonts w:asciiTheme="minorHAnsi" w:hAnsiTheme="minorHAnsi" w:cstheme="minorHAnsi"/>
        </w:rPr>
        <w:t>and included in the correspondence to the GP that is copied to the parents and child. The</w:t>
      </w:r>
      <w:r w:rsidR="00B83C36" w:rsidRPr="00812590">
        <w:rPr>
          <w:rFonts w:asciiTheme="minorHAnsi" w:hAnsiTheme="minorHAnsi" w:cstheme="minorHAnsi"/>
        </w:rPr>
        <w:t xml:space="preserve"> </w:t>
      </w:r>
      <w:r w:rsidRPr="00812590">
        <w:rPr>
          <w:rFonts w:asciiTheme="minorHAnsi" w:hAnsiTheme="minorHAnsi" w:cstheme="minorHAnsi"/>
        </w:rPr>
        <w:t xml:space="preserve">family should also be given a generic information sheet on SUDEP. EPEN recommends providing the leaflet from young </w:t>
      </w:r>
      <w:r w:rsidR="00360A1C" w:rsidRPr="00812590">
        <w:rPr>
          <w:rFonts w:asciiTheme="minorHAnsi" w:hAnsiTheme="minorHAnsi" w:cstheme="minorHAnsi"/>
        </w:rPr>
        <w:t>epilepsy</w:t>
      </w:r>
      <w:r w:rsidR="00360A1C" w:rsidRPr="00812590">
        <w:rPr>
          <w:rFonts w:asciiTheme="minorHAnsi" w:hAnsiTheme="minorHAnsi" w:cstheme="minorHAnsi"/>
          <w:vertAlign w:val="superscript"/>
        </w:rPr>
        <w:t xml:space="preserve"> (7) </w:t>
      </w:r>
      <w:r w:rsidRPr="00812590">
        <w:rPr>
          <w:rFonts w:asciiTheme="minorHAnsi" w:hAnsiTheme="minorHAnsi" w:cstheme="minorHAnsi"/>
        </w:rPr>
        <w:t>(see appendix).</w:t>
      </w:r>
    </w:p>
    <w:p w14:paraId="556E858C" w14:textId="77777777" w:rsidR="009A384D" w:rsidRPr="00812590" w:rsidRDefault="009A384D" w:rsidP="009A384D">
      <w:pPr>
        <w:pStyle w:val="Heading3"/>
        <w:rPr>
          <w:rFonts w:asciiTheme="minorHAnsi" w:hAnsiTheme="minorHAnsi" w:cstheme="minorHAnsi"/>
          <w:sz w:val="24"/>
          <w:szCs w:val="24"/>
        </w:rPr>
      </w:pPr>
      <w:r w:rsidRPr="00812590">
        <w:rPr>
          <w:rStyle w:val="Strong"/>
          <w:rFonts w:asciiTheme="minorHAnsi" w:hAnsiTheme="minorHAnsi" w:cstheme="minorHAnsi"/>
          <w:b/>
          <w:bCs/>
          <w:sz w:val="24"/>
          <w:szCs w:val="24"/>
        </w:rPr>
        <w:t>Advice on preventive devices</w:t>
      </w:r>
    </w:p>
    <w:p w14:paraId="0C0626C0" w14:textId="2F209C52" w:rsidR="009A384D" w:rsidRPr="00812590" w:rsidRDefault="009A384D" w:rsidP="009A384D">
      <w:pPr>
        <w:pStyle w:val="NormalWeb"/>
        <w:rPr>
          <w:rFonts w:asciiTheme="minorHAnsi" w:hAnsiTheme="minorHAnsi" w:cstheme="minorHAnsi"/>
        </w:rPr>
      </w:pPr>
      <w:r w:rsidRPr="00812590">
        <w:rPr>
          <w:rFonts w:asciiTheme="minorHAnsi" w:hAnsiTheme="minorHAnsi" w:cstheme="minorHAnsi"/>
        </w:rPr>
        <w:t xml:space="preserve">There is insufficient evidence to recommend overnight monitoring as a means of preventing SUDEP. There is a wide range of monitors available in the market. Currently, they are not available under NHS prescription. Use of these monitors should be left to the choice of child, young </w:t>
      </w:r>
      <w:r w:rsidR="00084D57" w:rsidRPr="00812590">
        <w:rPr>
          <w:rFonts w:asciiTheme="minorHAnsi" w:hAnsiTheme="minorHAnsi" w:cstheme="minorHAnsi"/>
        </w:rPr>
        <w:t>person,</w:t>
      </w:r>
      <w:r w:rsidRPr="00812590">
        <w:rPr>
          <w:rFonts w:asciiTheme="minorHAnsi" w:hAnsiTheme="minorHAnsi" w:cstheme="minorHAnsi"/>
        </w:rPr>
        <w:t xml:space="preserve"> and their family. Parents should be made aware of the rate of false alarms and disturbed sleep for the families may be highly problematic. As children get older, their rights and desire for privacy must also be taken into consideration.</w:t>
      </w:r>
    </w:p>
    <w:p w14:paraId="630953E3" w14:textId="77777777" w:rsidR="009A384D" w:rsidRPr="00812590" w:rsidRDefault="009A384D" w:rsidP="009A384D">
      <w:pPr>
        <w:pStyle w:val="Heading3"/>
        <w:rPr>
          <w:rFonts w:asciiTheme="minorHAnsi" w:hAnsiTheme="minorHAnsi" w:cstheme="minorHAnsi"/>
          <w:sz w:val="24"/>
          <w:szCs w:val="24"/>
        </w:rPr>
      </w:pPr>
      <w:r w:rsidRPr="00812590">
        <w:rPr>
          <w:rStyle w:val="Strong"/>
          <w:rFonts w:asciiTheme="minorHAnsi" w:hAnsiTheme="minorHAnsi" w:cstheme="minorHAnsi"/>
          <w:b/>
          <w:bCs/>
          <w:sz w:val="24"/>
          <w:szCs w:val="24"/>
        </w:rPr>
        <w:t>Support for families after SUDEP</w:t>
      </w:r>
    </w:p>
    <w:p w14:paraId="77E417E2" w14:textId="74A0FB91" w:rsidR="009A384D" w:rsidRPr="00812590" w:rsidRDefault="009A384D" w:rsidP="009A384D">
      <w:pPr>
        <w:pStyle w:val="NormalWeb"/>
        <w:rPr>
          <w:rFonts w:asciiTheme="minorHAnsi" w:hAnsiTheme="minorHAnsi" w:cstheme="minorHAnsi"/>
        </w:rPr>
      </w:pPr>
      <w:r w:rsidRPr="00812590">
        <w:rPr>
          <w:rFonts w:asciiTheme="minorHAnsi" w:hAnsiTheme="minorHAnsi" w:cstheme="minorHAnsi"/>
        </w:rPr>
        <w:t>NICE guidance states that “Where families and/or carers have been affected by SUDEP, health care professionals should contact families and/or carers to offer their condolences, invite them to discuss the death, and offer referral to bereavement counselling and a SUDEP support group</w:t>
      </w:r>
      <w:r w:rsidR="00AE2F94" w:rsidRPr="00812590">
        <w:rPr>
          <w:rFonts w:asciiTheme="minorHAnsi" w:hAnsiTheme="minorHAnsi" w:cstheme="minorHAnsi"/>
        </w:rPr>
        <w:t>.”</w:t>
      </w:r>
      <w:r w:rsidR="00AE2F94" w:rsidRPr="00812590">
        <w:rPr>
          <w:rStyle w:val="Strong"/>
          <w:rFonts w:asciiTheme="minorHAnsi" w:hAnsiTheme="minorHAnsi" w:cstheme="minorHAnsi"/>
        </w:rPr>
        <w:t xml:space="preserve"> </w:t>
      </w:r>
      <w:r w:rsidR="00AE2F94" w:rsidRPr="00812590">
        <w:rPr>
          <w:rStyle w:val="Strong"/>
          <w:rFonts w:asciiTheme="minorHAnsi" w:hAnsiTheme="minorHAnsi" w:cstheme="minorHAnsi"/>
          <w:vertAlign w:val="superscript"/>
        </w:rPr>
        <w:t>(</w:t>
      </w:r>
      <w:r w:rsidRPr="00812590">
        <w:rPr>
          <w:rStyle w:val="Strong"/>
          <w:rFonts w:asciiTheme="minorHAnsi" w:hAnsiTheme="minorHAnsi" w:cstheme="minorHAnsi"/>
          <w:vertAlign w:val="superscript"/>
        </w:rPr>
        <w:t>6)</w:t>
      </w:r>
    </w:p>
    <w:p w14:paraId="047532F0" w14:textId="65354EA5" w:rsidR="009A384D" w:rsidRPr="00812590" w:rsidRDefault="009A384D" w:rsidP="009A384D">
      <w:pPr>
        <w:pStyle w:val="NormalWeb"/>
        <w:rPr>
          <w:rFonts w:asciiTheme="minorHAnsi" w:hAnsiTheme="minorHAnsi" w:cstheme="minorHAnsi"/>
        </w:rPr>
      </w:pPr>
      <w:r w:rsidRPr="00812590">
        <w:rPr>
          <w:rFonts w:asciiTheme="minorHAnsi" w:hAnsiTheme="minorHAnsi" w:cstheme="minorHAnsi"/>
        </w:rPr>
        <w:t xml:space="preserve">Charity </w:t>
      </w:r>
      <w:hyperlink r:id="rId10" w:history="1">
        <w:r w:rsidRPr="00812590">
          <w:rPr>
            <w:rStyle w:val="Hyperlink"/>
            <w:rFonts w:asciiTheme="minorHAnsi" w:hAnsiTheme="minorHAnsi" w:cstheme="minorHAnsi"/>
            <w:b/>
            <w:bCs/>
          </w:rPr>
          <w:t>SUDEP Action</w:t>
        </w:r>
      </w:hyperlink>
      <w:r w:rsidR="00A7316D" w:rsidRPr="00812590">
        <w:rPr>
          <w:rStyle w:val="Strong"/>
          <w:rFonts w:asciiTheme="minorHAnsi" w:hAnsiTheme="minorHAnsi" w:cstheme="minorHAnsi"/>
          <w:vertAlign w:val="superscript"/>
        </w:rPr>
        <w:t>(</w:t>
      </w:r>
      <w:r w:rsidR="008E682D" w:rsidRPr="00812590">
        <w:rPr>
          <w:rStyle w:val="Strong"/>
          <w:rFonts w:asciiTheme="minorHAnsi" w:hAnsiTheme="minorHAnsi" w:cstheme="minorHAnsi"/>
          <w:vertAlign w:val="superscript"/>
        </w:rPr>
        <w:t>8)</w:t>
      </w:r>
      <w:r w:rsidRPr="00812590">
        <w:rPr>
          <w:rFonts w:asciiTheme="minorHAnsi" w:hAnsiTheme="minorHAnsi" w:cstheme="minorHAnsi"/>
        </w:rPr>
        <w:t xml:space="preserve"> will give help in the event of a SUDEP. Their services include bereavement support, counselling, help with understanding the inquest process and in collaboration with UK research teams, the involvement of bereaved families and professionals in research through the Epilepsy Deaths Register. Families can be directed to the website and provide the contact number of the support team (01235 </w:t>
      </w:r>
      <w:r w:rsidR="008E0582" w:rsidRPr="00812590">
        <w:rPr>
          <w:rFonts w:asciiTheme="minorHAnsi" w:hAnsiTheme="minorHAnsi" w:cstheme="minorHAnsi"/>
        </w:rPr>
        <w:t>772850</w:t>
      </w:r>
      <w:r w:rsidRPr="00812590">
        <w:rPr>
          <w:rFonts w:asciiTheme="minorHAnsi" w:hAnsiTheme="minorHAnsi" w:cstheme="minorHAnsi"/>
        </w:rPr>
        <w:t>)</w:t>
      </w:r>
    </w:p>
    <w:p w14:paraId="46F4D7A0" w14:textId="3455F0AB" w:rsidR="006B005F" w:rsidRPr="006B005F" w:rsidRDefault="006B005F" w:rsidP="0060309F">
      <w:pPr>
        <w:pStyle w:val="Custtitle"/>
      </w:pPr>
      <w:r w:rsidRPr="006B005F">
        <w:t>Ref</w:t>
      </w:r>
      <w:r w:rsidR="006D6899" w:rsidRPr="00812590">
        <w:t>erences</w:t>
      </w:r>
    </w:p>
    <w:p w14:paraId="526339D0" w14:textId="2E2FD3D6" w:rsidR="006B005F" w:rsidRPr="00812590" w:rsidRDefault="00DE3C91" w:rsidP="00E65934">
      <w:pPr>
        <w:pStyle w:val="ListParagraph"/>
        <w:numPr>
          <w:ilvl w:val="0"/>
          <w:numId w:val="6"/>
        </w:numPr>
        <w:spacing w:before="100" w:beforeAutospacing="1" w:after="100" w:afterAutospacing="1" w:line="240" w:lineRule="auto"/>
        <w:rPr>
          <w:rFonts w:eastAsia="Times New Roman" w:cstheme="minorHAnsi"/>
          <w:sz w:val="24"/>
          <w:szCs w:val="24"/>
        </w:rPr>
      </w:pPr>
      <w:proofErr w:type="spellStart"/>
      <w:r w:rsidRPr="00812590">
        <w:rPr>
          <w:rFonts w:cstheme="minorHAnsi"/>
          <w:color w:val="212121"/>
          <w:sz w:val="24"/>
          <w:szCs w:val="24"/>
          <w:shd w:val="clear" w:color="auto" w:fill="FFFFFF"/>
        </w:rPr>
        <w:t>Nashef</w:t>
      </w:r>
      <w:proofErr w:type="spellEnd"/>
      <w:r w:rsidRPr="00812590">
        <w:rPr>
          <w:rFonts w:cstheme="minorHAnsi"/>
          <w:color w:val="212121"/>
          <w:sz w:val="24"/>
          <w:szCs w:val="24"/>
          <w:shd w:val="clear" w:color="auto" w:fill="FFFFFF"/>
        </w:rPr>
        <w:t xml:space="preserve"> L, So EL, </w:t>
      </w:r>
      <w:proofErr w:type="spellStart"/>
      <w:r w:rsidRPr="00812590">
        <w:rPr>
          <w:rFonts w:cstheme="minorHAnsi"/>
          <w:color w:val="212121"/>
          <w:sz w:val="24"/>
          <w:szCs w:val="24"/>
          <w:shd w:val="clear" w:color="auto" w:fill="FFFFFF"/>
        </w:rPr>
        <w:t>Ryvlin</w:t>
      </w:r>
      <w:proofErr w:type="spellEnd"/>
      <w:r w:rsidRPr="00812590">
        <w:rPr>
          <w:rFonts w:cstheme="minorHAnsi"/>
          <w:color w:val="212121"/>
          <w:sz w:val="24"/>
          <w:szCs w:val="24"/>
          <w:shd w:val="clear" w:color="auto" w:fill="FFFFFF"/>
        </w:rPr>
        <w:t xml:space="preserve"> P, Tomson T. Unifying the definitions of sudden unexpected death in epilepsy. Epilepsia. 2012 Feb;53(2):227-33. </w:t>
      </w:r>
      <w:proofErr w:type="spellStart"/>
      <w:r w:rsidRPr="00812590">
        <w:rPr>
          <w:rFonts w:cstheme="minorHAnsi"/>
          <w:color w:val="212121"/>
          <w:sz w:val="24"/>
          <w:szCs w:val="24"/>
          <w:shd w:val="clear" w:color="auto" w:fill="FFFFFF"/>
        </w:rPr>
        <w:t>doi</w:t>
      </w:r>
      <w:proofErr w:type="spellEnd"/>
      <w:r w:rsidRPr="00812590">
        <w:rPr>
          <w:rFonts w:cstheme="minorHAnsi"/>
          <w:color w:val="212121"/>
          <w:sz w:val="24"/>
          <w:szCs w:val="24"/>
          <w:shd w:val="clear" w:color="auto" w:fill="FFFFFF"/>
        </w:rPr>
        <w:t xml:space="preserve">: 10.1111/j.1528-1167.2011.03358.x. </w:t>
      </w:r>
      <w:proofErr w:type="spellStart"/>
      <w:r w:rsidRPr="00812590">
        <w:rPr>
          <w:rFonts w:cstheme="minorHAnsi"/>
          <w:color w:val="212121"/>
          <w:sz w:val="24"/>
          <w:szCs w:val="24"/>
          <w:shd w:val="clear" w:color="auto" w:fill="FFFFFF"/>
        </w:rPr>
        <w:t>Epub</w:t>
      </w:r>
      <w:proofErr w:type="spellEnd"/>
      <w:r w:rsidRPr="00812590">
        <w:rPr>
          <w:rFonts w:cstheme="minorHAnsi"/>
          <w:color w:val="212121"/>
          <w:sz w:val="24"/>
          <w:szCs w:val="24"/>
          <w:shd w:val="clear" w:color="auto" w:fill="FFFFFF"/>
        </w:rPr>
        <w:t xml:space="preserve"> 2011 Dec 22. PMID: 22191982.</w:t>
      </w:r>
    </w:p>
    <w:p w14:paraId="43ADC8F0" w14:textId="2990CB9C" w:rsidR="006B005F" w:rsidRPr="00812590" w:rsidRDefault="003A25C7" w:rsidP="00E65934">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eastAsia="Times New Roman" w:cstheme="minorHAnsi"/>
          <w:sz w:val="24"/>
          <w:szCs w:val="24"/>
        </w:rPr>
        <w:t xml:space="preserve">Harden C, Tomson T, Gloss D, </w:t>
      </w:r>
      <w:proofErr w:type="spellStart"/>
      <w:r w:rsidRPr="00812590">
        <w:rPr>
          <w:rFonts w:eastAsia="Times New Roman" w:cstheme="minorHAnsi"/>
          <w:sz w:val="24"/>
          <w:szCs w:val="24"/>
        </w:rPr>
        <w:t>Buchhalter</w:t>
      </w:r>
      <w:proofErr w:type="spellEnd"/>
      <w:r w:rsidRPr="00812590">
        <w:rPr>
          <w:rFonts w:eastAsia="Times New Roman" w:cstheme="minorHAnsi"/>
          <w:sz w:val="24"/>
          <w:szCs w:val="24"/>
        </w:rPr>
        <w:t xml:space="preserve"> J, Cross JH, Donner E, French JA, Gil-Nagel A, </w:t>
      </w:r>
      <w:proofErr w:type="spellStart"/>
      <w:r w:rsidRPr="00812590">
        <w:rPr>
          <w:rFonts w:eastAsia="Times New Roman" w:cstheme="minorHAnsi"/>
          <w:sz w:val="24"/>
          <w:szCs w:val="24"/>
        </w:rPr>
        <w:t>Hesdorffer</w:t>
      </w:r>
      <w:proofErr w:type="spellEnd"/>
      <w:r w:rsidRPr="00812590">
        <w:rPr>
          <w:rFonts w:eastAsia="Times New Roman" w:cstheme="minorHAnsi"/>
          <w:sz w:val="24"/>
          <w:szCs w:val="24"/>
        </w:rPr>
        <w:t xml:space="preserve"> DC, Smithson WH, Spitz MC, Walczak TS, Sander JW, </w:t>
      </w:r>
      <w:proofErr w:type="spellStart"/>
      <w:r w:rsidRPr="00812590">
        <w:rPr>
          <w:rFonts w:eastAsia="Times New Roman" w:cstheme="minorHAnsi"/>
          <w:sz w:val="24"/>
          <w:szCs w:val="24"/>
        </w:rPr>
        <w:t>Ryvlin</w:t>
      </w:r>
      <w:proofErr w:type="spellEnd"/>
      <w:r w:rsidRPr="00812590">
        <w:rPr>
          <w:rFonts w:eastAsia="Times New Roman" w:cstheme="minorHAnsi"/>
          <w:sz w:val="24"/>
          <w:szCs w:val="24"/>
        </w:rPr>
        <w:t xml:space="preserve"> P. Practice guideline summary: Sudden unexpected death in epilepsy incidence rates and risk factors: Report of the Guideline Development, Dissemination, and Implementation Subcommittee of the American Academy of Neurology and the American Epilepsy Society. Neurology. 2017 Apr 25;88(17):1674-1680. </w:t>
      </w:r>
      <w:proofErr w:type="spellStart"/>
      <w:r w:rsidRPr="00812590">
        <w:rPr>
          <w:rFonts w:eastAsia="Times New Roman" w:cstheme="minorHAnsi"/>
          <w:sz w:val="24"/>
          <w:szCs w:val="24"/>
        </w:rPr>
        <w:t>doi</w:t>
      </w:r>
      <w:proofErr w:type="spellEnd"/>
      <w:r w:rsidRPr="00812590">
        <w:rPr>
          <w:rFonts w:eastAsia="Times New Roman" w:cstheme="minorHAnsi"/>
          <w:sz w:val="24"/>
          <w:szCs w:val="24"/>
        </w:rPr>
        <w:t>: 10.1212/WNL.0000000000003685. Erratum in: Neurology. 2019 Nov 26;93(22):982. Erratum in: Neurology. 2020 Mar 3;94(9):414. PMID: 28438841.</w:t>
      </w:r>
    </w:p>
    <w:p w14:paraId="756F033E" w14:textId="38D0D171" w:rsidR="006B005F" w:rsidRPr="00812590" w:rsidRDefault="00F4685E" w:rsidP="00DD3F07">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cstheme="minorHAnsi"/>
          <w:color w:val="212121"/>
          <w:sz w:val="24"/>
          <w:szCs w:val="24"/>
          <w:shd w:val="clear" w:color="auto" w:fill="FFFFFF"/>
        </w:rPr>
        <w:lastRenderedPageBreak/>
        <w:t xml:space="preserve">Sveinsson O, Andersson T, Carlsson S, Tomson T. The incidence of SUDEP: A nationwide population-based cohort study. Neurology. 2017 Jul 11;89(2):170-177. </w:t>
      </w:r>
      <w:proofErr w:type="spellStart"/>
      <w:r w:rsidRPr="00812590">
        <w:rPr>
          <w:rFonts w:cstheme="minorHAnsi"/>
          <w:color w:val="212121"/>
          <w:sz w:val="24"/>
          <w:szCs w:val="24"/>
          <w:shd w:val="clear" w:color="auto" w:fill="FFFFFF"/>
        </w:rPr>
        <w:t>doi</w:t>
      </w:r>
      <w:proofErr w:type="spellEnd"/>
      <w:r w:rsidRPr="00812590">
        <w:rPr>
          <w:rFonts w:cstheme="minorHAnsi"/>
          <w:color w:val="212121"/>
          <w:sz w:val="24"/>
          <w:szCs w:val="24"/>
          <w:shd w:val="clear" w:color="auto" w:fill="FFFFFF"/>
        </w:rPr>
        <w:t xml:space="preserve">: 10.1212/WNL.0000000000004094. </w:t>
      </w:r>
      <w:proofErr w:type="spellStart"/>
      <w:r w:rsidRPr="00812590">
        <w:rPr>
          <w:rFonts w:cstheme="minorHAnsi"/>
          <w:color w:val="212121"/>
          <w:sz w:val="24"/>
          <w:szCs w:val="24"/>
          <w:shd w:val="clear" w:color="auto" w:fill="FFFFFF"/>
        </w:rPr>
        <w:t>Epub</w:t>
      </w:r>
      <w:proofErr w:type="spellEnd"/>
      <w:r w:rsidRPr="00812590">
        <w:rPr>
          <w:rFonts w:cstheme="minorHAnsi"/>
          <w:color w:val="212121"/>
          <w:sz w:val="24"/>
          <w:szCs w:val="24"/>
          <w:shd w:val="clear" w:color="auto" w:fill="FFFFFF"/>
        </w:rPr>
        <w:t xml:space="preserve"> 2017 Jun 7. PMID: 28592455.</w:t>
      </w:r>
    </w:p>
    <w:p w14:paraId="02BCF439" w14:textId="77777777" w:rsidR="00DD3F07" w:rsidRPr="00812590" w:rsidRDefault="00DD3F07" w:rsidP="00DD3F07">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cstheme="minorHAnsi"/>
          <w:color w:val="212121"/>
          <w:sz w:val="24"/>
          <w:szCs w:val="24"/>
          <w:shd w:val="clear" w:color="auto" w:fill="FFFFFF"/>
        </w:rPr>
        <w:t xml:space="preserve">Devinsky O. Sudden, unexpected death in epilepsy. N </w:t>
      </w:r>
      <w:proofErr w:type="spellStart"/>
      <w:r w:rsidRPr="00812590">
        <w:rPr>
          <w:rFonts w:cstheme="minorHAnsi"/>
          <w:color w:val="212121"/>
          <w:sz w:val="24"/>
          <w:szCs w:val="24"/>
          <w:shd w:val="clear" w:color="auto" w:fill="FFFFFF"/>
        </w:rPr>
        <w:t>Engl</w:t>
      </w:r>
      <w:proofErr w:type="spellEnd"/>
      <w:r w:rsidRPr="00812590">
        <w:rPr>
          <w:rFonts w:cstheme="minorHAnsi"/>
          <w:color w:val="212121"/>
          <w:sz w:val="24"/>
          <w:szCs w:val="24"/>
          <w:shd w:val="clear" w:color="auto" w:fill="FFFFFF"/>
        </w:rPr>
        <w:t xml:space="preserve"> J Med. 2011 Nov 10;365(19):1801-11. </w:t>
      </w:r>
      <w:proofErr w:type="spellStart"/>
      <w:r w:rsidRPr="00812590">
        <w:rPr>
          <w:rFonts w:cstheme="minorHAnsi"/>
          <w:color w:val="212121"/>
          <w:sz w:val="24"/>
          <w:szCs w:val="24"/>
          <w:shd w:val="clear" w:color="auto" w:fill="FFFFFF"/>
        </w:rPr>
        <w:t>doi</w:t>
      </w:r>
      <w:proofErr w:type="spellEnd"/>
      <w:r w:rsidRPr="00812590">
        <w:rPr>
          <w:rFonts w:cstheme="minorHAnsi"/>
          <w:color w:val="212121"/>
          <w:sz w:val="24"/>
          <w:szCs w:val="24"/>
          <w:shd w:val="clear" w:color="auto" w:fill="FFFFFF"/>
        </w:rPr>
        <w:t xml:space="preserve">: 10.1056/NEJMra1010481. Erratum in: N </w:t>
      </w:r>
      <w:proofErr w:type="spellStart"/>
      <w:r w:rsidRPr="00812590">
        <w:rPr>
          <w:rFonts w:cstheme="minorHAnsi"/>
          <w:color w:val="212121"/>
          <w:sz w:val="24"/>
          <w:szCs w:val="24"/>
          <w:shd w:val="clear" w:color="auto" w:fill="FFFFFF"/>
        </w:rPr>
        <w:t>Engl</w:t>
      </w:r>
      <w:proofErr w:type="spellEnd"/>
      <w:r w:rsidRPr="00812590">
        <w:rPr>
          <w:rFonts w:cstheme="minorHAnsi"/>
          <w:color w:val="212121"/>
          <w:sz w:val="24"/>
          <w:szCs w:val="24"/>
          <w:shd w:val="clear" w:color="auto" w:fill="FFFFFF"/>
        </w:rPr>
        <w:t xml:space="preserve"> J Med. 2011 Dec 22;365(25):2441. PMID: 22070477.</w:t>
      </w:r>
    </w:p>
    <w:p w14:paraId="00E22FB7" w14:textId="702EF9D4" w:rsidR="009502C4" w:rsidRPr="00812590" w:rsidRDefault="00AC5A08" w:rsidP="00B07880">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cstheme="minorHAnsi"/>
          <w:color w:val="212121"/>
          <w:sz w:val="24"/>
          <w:szCs w:val="24"/>
          <w:shd w:val="clear" w:color="auto" w:fill="FFFFFF"/>
        </w:rPr>
        <w:t xml:space="preserve">Sveinsson O, Andersson T, </w:t>
      </w:r>
      <w:proofErr w:type="spellStart"/>
      <w:r w:rsidRPr="00812590">
        <w:rPr>
          <w:rFonts w:cstheme="minorHAnsi"/>
          <w:color w:val="212121"/>
          <w:sz w:val="24"/>
          <w:szCs w:val="24"/>
          <w:shd w:val="clear" w:color="auto" w:fill="FFFFFF"/>
        </w:rPr>
        <w:t>Mattsson</w:t>
      </w:r>
      <w:proofErr w:type="spellEnd"/>
      <w:r w:rsidRPr="00812590">
        <w:rPr>
          <w:rFonts w:cstheme="minorHAnsi"/>
          <w:color w:val="212121"/>
          <w:sz w:val="24"/>
          <w:szCs w:val="24"/>
          <w:shd w:val="clear" w:color="auto" w:fill="FFFFFF"/>
        </w:rPr>
        <w:t xml:space="preserve"> P, Carlsson S, Tomson T. Clinical risk factors in SUDEP: A nationwide population-based case-control study. Neurology. 2020 Jan 28;94(4):e419-e429. </w:t>
      </w:r>
      <w:proofErr w:type="spellStart"/>
      <w:r w:rsidRPr="00812590">
        <w:rPr>
          <w:rFonts w:cstheme="minorHAnsi"/>
          <w:color w:val="212121"/>
          <w:sz w:val="24"/>
          <w:szCs w:val="24"/>
          <w:shd w:val="clear" w:color="auto" w:fill="FFFFFF"/>
        </w:rPr>
        <w:t>doi</w:t>
      </w:r>
      <w:proofErr w:type="spellEnd"/>
      <w:r w:rsidRPr="00812590">
        <w:rPr>
          <w:rFonts w:cstheme="minorHAnsi"/>
          <w:color w:val="212121"/>
          <w:sz w:val="24"/>
          <w:szCs w:val="24"/>
          <w:shd w:val="clear" w:color="auto" w:fill="FFFFFF"/>
        </w:rPr>
        <w:t xml:space="preserve">: 10.1212/WNL.0000000000008741. </w:t>
      </w:r>
      <w:proofErr w:type="spellStart"/>
      <w:r w:rsidRPr="00812590">
        <w:rPr>
          <w:rFonts w:cstheme="minorHAnsi"/>
          <w:color w:val="212121"/>
          <w:sz w:val="24"/>
          <w:szCs w:val="24"/>
          <w:shd w:val="clear" w:color="auto" w:fill="FFFFFF"/>
        </w:rPr>
        <w:t>Epub</w:t>
      </w:r>
      <w:proofErr w:type="spellEnd"/>
      <w:r w:rsidRPr="00812590">
        <w:rPr>
          <w:rFonts w:cstheme="minorHAnsi"/>
          <w:color w:val="212121"/>
          <w:sz w:val="24"/>
          <w:szCs w:val="24"/>
          <w:shd w:val="clear" w:color="auto" w:fill="FFFFFF"/>
        </w:rPr>
        <w:t xml:space="preserve"> 2019 Dec 12. Erratum in: Neurology. 2020 Mar 10;94(10):459. PMID: 31831600; PMCID: PMC7079690.</w:t>
      </w:r>
    </w:p>
    <w:p w14:paraId="553327C9" w14:textId="243EA3AB" w:rsidR="00B07880" w:rsidRPr="00812590" w:rsidRDefault="00B07880" w:rsidP="00B07880">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eastAsia="Times New Roman" w:cstheme="minorHAnsi"/>
          <w:sz w:val="24"/>
          <w:szCs w:val="24"/>
        </w:rPr>
        <w:t xml:space="preserve">National Institute for Health and Care Excellence [NICE]. (May 2021 update). Epilepsies: diagnosis and management [CG137]. </w:t>
      </w:r>
      <w:hyperlink r:id="rId11" w:history="1">
        <w:r w:rsidR="00806748" w:rsidRPr="00812590">
          <w:rPr>
            <w:rStyle w:val="Hyperlink"/>
            <w:rFonts w:eastAsia="Times New Roman" w:cstheme="minorHAnsi"/>
            <w:sz w:val="24"/>
            <w:szCs w:val="24"/>
          </w:rPr>
          <w:t>https://www.nice.org.uk/guidance/cg137/</w:t>
        </w:r>
      </w:hyperlink>
    </w:p>
    <w:p w14:paraId="0F4FED85" w14:textId="469C9028" w:rsidR="00D60249" w:rsidRPr="00812590" w:rsidRDefault="008B31B2" w:rsidP="006C5395">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eastAsia="Times New Roman" w:cstheme="minorHAnsi"/>
          <w:sz w:val="24"/>
          <w:szCs w:val="24"/>
        </w:rPr>
        <w:t xml:space="preserve">Patient information leaflet on SUDEP from Young Epilepsy website. Downloaded on 10th Aug 2021 from </w:t>
      </w:r>
      <w:r w:rsidR="00D60249" w:rsidRPr="00812590">
        <w:rPr>
          <w:rFonts w:eastAsia="Times New Roman" w:cstheme="minorHAnsi"/>
          <w:sz w:val="24"/>
          <w:szCs w:val="24"/>
        </w:rPr>
        <w:t>http://www.youngepilepsy.org.uk/about-epilepsy/living-with-epilepsy/sudep.html</w:t>
      </w:r>
    </w:p>
    <w:p w14:paraId="1219AD97" w14:textId="5914D583" w:rsidR="008B31B2" w:rsidRPr="00812590" w:rsidRDefault="008B31B2" w:rsidP="006C5395">
      <w:pPr>
        <w:pStyle w:val="ListParagraph"/>
        <w:numPr>
          <w:ilvl w:val="0"/>
          <w:numId w:val="6"/>
        </w:numPr>
        <w:spacing w:before="100" w:beforeAutospacing="1" w:after="100" w:afterAutospacing="1" w:line="240" w:lineRule="auto"/>
        <w:rPr>
          <w:rFonts w:eastAsia="Times New Roman" w:cstheme="minorHAnsi"/>
          <w:sz w:val="24"/>
          <w:szCs w:val="24"/>
        </w:rPr>
      </w:pPr>
      <w:r w:rsidRPr="00812590">
        <w:rPr>
          <w:rFonts w:eastAsia="Times New Roman" w:cstheme="minorHAnsi"/>
          <w:sz w:val="24"/>
          <w:szCs w:val="24"/>
        </w:rPr>
        <w:t>SUDEP Action website: sudep.org</w:t>
      </w:r>
    </w:p>
    <w:p w14:paraId="2F6A6CC6" w14:textId="7978B52E" w:rsidR="00806748" w:rsidRPr="00812590" w:rsidRDefault="00806748" w:rsidP="00806748">
      <w:pPr>
        <w:spacing w:before="100" w:beforeAutospacing="1" w:after="100" w:afterAutospacing="1" w:line="240" w:lineRule="auto"/>
        <w:rPr>
          <w:rFonts w:eastAsia="Times New Roman" w:cstheme="minorHAnsi"/>
          <w:sz w:val="24"/>
          <w:szCs w:val="24"/>
        </w:rPr>
      </w:pPr>
    </w:p>
    <w:p w14:paraId="7D902FCC" w14:textId="0D68C9C5" w:rsidR="00402DFF" w:rsidRPr="00812590" w:rsidRDefault="00402DFF" w:rsidP="00402DFF">
      <w:pPr>
        <w:spacing w:before="100" w:beforeAutospacing="1" w:after="100" w:afterAutospacing="1" w:line="240" w:lineRule="auto"/>
        <w:rPr>
          <w:rFonts w:eastAsia="Times New Roman" w:cstheme="minorHAnsi"/>
          <w:noProof/>
          <w:sz w:val="24"/>
          <w:szCs w:val="24"/>
        </w:rPr>
      </w:pPr>
    </w:p>
    <w:p w14:paraId="081154D3" w14:textId="1BEFD65B" w:rsidR="00402DFF" w:rsidRPr="00812590" w:rsidRDefault="00402DFF" w:rsidP="00402DFF">
      <w:pPr>
        <w:spacing w:before="100" w:beforeAutospacing="1" w:after="100" w:afterAutospacing="1" w:line="240" w:lineRule="auto"/>
        <w:rPr>
          <w:rFonts w:eastAsia="Times New Roman" w:cstheme="minorHAnsi"/>
          <w:noProof/>
          <w:sz w:val="24"/>
          <w:szCs w:val="24"/>
        </w:rPr>
      </w:pPr>
    </w:p>
    <w:p w14:paraId="5AFF2145" w14:textId="08AC4776" w:rsidR="00402DFF" w:rsidRPr="00812590" w:rsidRDefault="00402DFF" w:rsidP="00402DFF">
      <w:pPr>
        <w:spacing w:before="100" w:beforeAutospacing="1" w:after="100" w:afterAutospacing="1" w:line="240" w:lineRule="auto"/>
        <w:rPr>
          <w:rFonts w:eastAsia="Times New Roman" w:cstheme="minorHAnsi"/>
          <w:noProof/>
          <w:sz w:val="24"/>
          <w:szCs w:val="24"/>
        </w:rPr>
      </w:pPr>
    </w:p>
    <w:p w14:paraId="18F14459" w14:textId="65E0251E" w:rsidR="00EB5000" w:rsidRDefault="00EB5000" w:rsidP="00402DFF">
      <w:pPr>
        <w:spacing w:before="100" w:beforeAutospacing="1" w:after="100" w:afterAutospacing="1" w:line="240" w:lineRule="auto"/>
        <w:rPr>
          <w:rFonts w:eastAsia="Times New Roman" w:cstheme="minorHAnsi"/>
          <w:noProof/>
          <w:sz w:val="24"/>
          <w:szCs w:val="24"/>
        </w:rPr>
      </w:pPr>
    </w:p>
    <w:p w14:paraId="62FCEF6D" w14:textId="7A07379A" w:rsidR="00EB5000" w:rsidRDefault="00EB5000" w:rsidP="00402DFF">
      <w:pPr>
        <w:spacing w:before="100" w:beforeAutospacing="1" w:after="100" w:afterAutospacing="1" w:line="240" w:lineRule="auto"/>
        <w:rPr>
          <w:rFonts w:eastAsia="Times New Roman" w:cstheme="minorHAnsi"/>
          <w:noProof/>
          <w:sz w:val="24"/>
          <w:szCs w:val="24"/>
        </w:rPr>
      </w:pPr>
    </w:p>
    <w:p w14:paraId="01ECFAEC" w14:textId="06449024" w:rsidR="00EB5000" w:rsidRDefault="00EB5000" w:rsidP="00402DFF">
      <w:pPr>
        <w:spacing w:before="100" w:beforeAutospacing="1" w:after="100" w:afterAutospacing="1" w:line="240" w:lineRule="auto"/>
        <w:rPr>
          <w:rFonts w:eastAsia="Times New Roman" w:cstheme="minorHAnsi"/>
          <w:noProof/>
          <w:sz w:val="24"/>
          <w:szCs w:val="24"/>
        </w:rPr>
      </w:pPr>
    </w:p>
    <w:p w14:paraId="0F5A7A9D" w14:textId="3FA004EB" w:rsidR="00EB5000" w:rsidRDefault="00EB5000" w:rsidP="00402DFF">
      <w:pPr>
        <w:spacing w:before="100" w:beforeAutospacing="1" w:after="100" w:afterAutospacing="1" w:line="240" w:lineRule="auto"/>
        <w:rPr>
          <w:rFonts w:eastAsia="Times New Roman" w:cstheme="minorHAnsi"/>
          <w:noProof/>
          <w:sz w:val="24"/>
          <w:szCs w:val="24"/>
        </w:rPr>
      </w:pPr>
    </w:p>
    <w:p w14:paraId="78E98369" w14:textId="49164AA6" w:rsidR="00EB5000" w:rsidRDefault="00EB5000" w:rsidP="00402DFF">
      <w:pPr>
        <w:spacing w:before="100" w:beforeAutospacing="1" w:after="100" w:afterAutospacing="1" w:line="240" w:lineRule="auto"/>
        <w:rPr>
          <w:rFonts w:eastAsia="Times New Roman" w:cstheme="minorHAnsi"/>
          <w:noProof/>
          <w:sz w:val="24"/>
          <w:szCs w:val="24"/>
        </w:rPr>
      </w:pPr>
    </w:p>
    <w:p w14:paraId="773A958C" w14:textId="72E14FE5" w:rsidR="00EB5000" w:rsidRDefault="00EB5000" w:rsidP="00402DFF">
      <w:pPr>
        <w:spacing w:before="100" w:beforeAutospacing="1" w:after="100" w:afterAutospacing="1" w:line="240" w:lineRule="auto"/>
        <w:rPr>
          <w:rFonts w:eastAsia="Times New Roman" w:cstheme="minorHAnsi"/>
          <w:noProof/>
          <w:sz w:val="24"/>
          <w:szCs w:val="24"/>
        </w:rPr>
      </w:pPr>
    </w:p>
    <w:p w14:paraId="48C2F901" w14:textId="69D4E18E" w:rsidR="00EB5000" w:rsidRPr="00812590" w:rsidRDefault="00EB5000" w:rsidP="00EB5000">
      <w:pPr>
        <w:rPr>
          <w:rFonts w:eastAsia="Times New Roman" w:cstheme="minorHAnsi"/>
          <w:noProof/>
          <w:sz w:val="24"/>
          <w:szCs w:val="24"/>
        </w:rPr>
      </w:pPr>
      <w:r>
        <w:rPr>
          <w:rFonts w:eastAsia="Times New Roman" w:cstheme="minorHAnsi"/>
          <w:noProof/>
          <w:sz w:val="24"/>
          <w:szCs w:val="24"/>
        </w:rPr>
        <w:br w:type="page"/>
      </w:r>
    </w:p>
    <w:p w14:paraId="1E696BFF" w14:textId="7E7FEC5B" w:rsidR="00402DFF" w:rsidRPr="00812590" w:rsidRDefault="00402DFF" w:rsidP="0060309F">
      <w:pPr>
        <w:pStyle w:val="Custtitle"/>
        <w:rPr>
          <w:noProof/>
        </w:rPr>
      </w:pPr>
      <w:r w:rsidRPr="00812590">
        <w:rPr>
          <w:noProof/>
        </w:rPr>
        <w:lastRenderedPageBreak/>
        <w:t>Appendix</w:t>
      </w:r>
    </w:p>
    <w:p w14:paraId="179FECDE" w14:textId="77777777" w:rsidR="00462CDA" w:rsidRPr="00812590" w:rsidRDefault="00402DFF" w:rsidP="00462CDA">
      <w:pPr>
        <w:spacing w:before="100" w:beforeAutospacing="1" w:after="100" w:afterAutospacing="1" w:line="240" w:lineRule="auto"/>
        <w:rPr>
          <w:rFonts w:eastAsia="Times New Roman" w:cstheme="minorHAnsi"/>
          <w:noProof/>
          <w:sz w:val="24"/>
          <w:szCs w:val="24"/>
        </w:rPr>
      </w:pPr>
      <w:r w:rsidRPr="00812590">
        <w:rPr>
          <w:rFonts w:eastAsia="Times New Roman" w:cstheme="minorHAnsi"/>
          <w:noProof/>
          <w:sz w:val="24"/>
          <w:szCs w:val="24"/>
        </w:rPr>
        <w:t xml:space="preserve">PDF available from this link: </w:t>
      </w:r>
      <w:r w:rsidR="00462CDA" w:rsidRPr="00812590">
        <w:rPr>
          <w:rFonts w:eastAsia="Times New Roman" w:cstheme="minorHAnsi"/>
          <w:noProof/>
          <w:sz w:val="24"/>
          <w:szCs w:val="24"/>
        </w:rPr>
        <w:t>https://www.youngepilepsy.org.uk/about-epilepsy/living-with-epilepsy/sudep.html</w:t>
      </w:r>
    </w:p>
    <w:p w14:paraId="0C9B5B85" w14:textId="351C7E71" w:rsidR="00402DFF" w:rsidRPr="00812590" w:rsidRDefault="00462CDA" w:rsidP="00462CDA">
      <w:pPr>
        <w:spacing w:before="100" w:beforeAutospacing="1" w:after="100" w:afterAutospacing="1" w:line="240" w:lineRule="auto"/>
        <w:rPr>
          <w:rFonts w:eastAsia="Times New Roman" w:cstheme="minorHAnsi"/>
          <w:noProof/>
          <w:sz w:val="24"/>
          <w:szCs w:val="24"/>
        </w:rPr>
      </w:pPr>
      <w:r w:rsidRPr="00812590">
        <w:rPr>
          <w:rFonts w:eastAsia="Times New Roman" w:cstheme="minorHAnsi"/>
          <w:noProof/>
          <w:sz w:val="24"/>
          <w:szCs w:val="24"/>
          <w:lang w:val="en-GB" w:eastAsia="en-GB"/>
        </w:rPr>
        <w:drawing>
          <wp:anchor distT="0" distB="0" distL="114300" distR="114300" simplePos="0" relativeHeight="251658240" behindDoc="0" locked="0" layoutInCell="1" allowOverlap="1" wp14:anchorId="4C73771A" wp14:editId="5A0206DF">
            <wp:simplePos x="0" y="0"/>
            <wp:positionH relativeFrom="column">
              <wp:posOffset>217170</wp:posOffset>
            </wp:positionH>
            <wp:positionV relativeFrom="paragraph">
              <wp:posOffset>162560</wp:posOffset>
            </wp:positionV>
            <wp:extent cx="5449028" cy="7044690"/>
            <wp:effectExtent l="171450" t="190500" r="170815" b="1943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9028" cy="70446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0CFB0642" w14:textId="21EDA696" w:rsidR="00402DFF" w:rsidRPr="00812590" w:rsidRDefault="00402DFF" w:rsidP="00402DFF">
      <w:pPr>
        <w:spacing w:before="100" w:beforeAutospacing="1" w:after="100" w:afterAutospacing="1" w:line="240" w:lineRule="auto"/>
        <w:rPr>
          <w:rFonts w:eastAsia="Times New Roman" w:cstheme="minorHAnsi"/>
          <w:noProof/>
          <w:sz w:val="24"/>
          <w:szCs w:val="24"/>
        </w:rPr>
      </w:pPr>
    </w:p>
    <w:p w14:paraId="5718E11D" w14:textId="77777777" w:rsidR="00806748" w:rsidRPr="00812590" w:rsidRDefault="00806748" w:rsidP="00806748">
      <w:pPr>
        <w:spacing w:before="100" w:beforeAutospacing="1" w:after="100" w:afterAutospacing="1" w:line="240" w:lineRule="auto"/>
        <w:rPr>
          <w:rFonts w:eastAsia="Times New Roman" w:cstheme="minorHAnsi"/>
          <w:sz w:val="24"/>
          <w:szCs w:val="24"/>
        </w:rPr>
      </w:pPr>
    </w:p>
    <w:sectPr w:rsidR="00806748" w:rsidRPr="0081259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D437" w14:textId="77777777" w:rsidR="00C24B70" w:rsidRDefault="00C24B70" w:rsidP="006D6899">
      <w:pPr>
        <w:spacing w:after="0" w:line="240" w:lineRule="auto"/>
      </w:pPr>
      <w:r>
        <w:separator/>
      </w:r>
    </w:p>
  </w:endnote>
  <w:endnote w:type="continuationSeparator" w:id="0">
    <w:p w14:paraId="39555122" w14:textId="77777777" w:rsidR="00C24B70" w:rsidRDefault="00C24B70" w:rsidP="006D6899">
      <w:pPr>
        <w:spacing w:after="0" w:line="240" w:lineRule="auto"/>
      </w:pPr>
      <w:r>
        <w:continuationSeparator/>
      </w:r>
    </w:p>
  </w:endnote>
  <w:endnote w:type="continuationNotice" w:id="1">
    <w:p w14:paraId="071B7156" w14:textId="77777777" w:rsidR="00C24B70" w:rsidRDefault="00C24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F130" w14:textId="34DB91C5" w:rsidR="00354F0E" w:rsidRPr="00354F0E" w:rsidRDefault="006E314A">
    <w:pPr>
      <w:pStyle w:val="Footer"/>
      <w:rPr>
        <w:color w:val="A6A6A6" w:themeColor="background1" w:themeShade="A6"/>
      </w:rPr>
    </w:pPr>
    <w:r>
      <w:rPr>
        <w:noProof/>
        <w:lang w:val="en-GB" w:eastAsia="en-GB"/>
      </w:rPr>
      <w:drawing>
        <wp:anchor distT="0" distB="0" distL="114300" distR="114300" simplePos="0" relativeHeight="251658240" behindDoc="0" locked="0" layoutInCell="1" allowOverlap="1" wp14:anchorId="08436EBA" wp14:editId="0D5BB3AF">
          <wp:simplePos x="0" y="0"/>
          <wp:positionH relativeFrom="margin">
            <wp:align>right</wp:align>
          </wp:positionH>
          <wp:positionV relativeFrom="paragraph">
            <wp:posOffset>-68239</wp:posOffset>
          </wp:positionV>
          <wp:extent cx="845820" cy="3436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43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F0E" w:rsidRPr="00354F0E">
      <w:rPr>
        <w:color w:val="A6A6A6" w:themeColor="background1" w:themeShade="A6"/>
      </w:rPr>
      <w:t>SUDEP prevention action – EPEN Guidelines for professionals</w:t>
    </w:r>
    <w:r w:rsidR="00354F0E">
      <w:rPr>
        <w:color w:val="A6A6A6" w:themeColor="background1" w:themeShade="A6"/>
      </w:rPr>
      <w:t>. August 2021 update</w:t>
    </w:r>
    <w:r w:rsidRPr="00EB5000">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60F95" w14:textId="77777777" w:rsidR="00C24B70" w:rsidRDefault="00C24B70" w:rsidP="006D6899">
      <w:pPr>
        <w:spacing w:after="0" w:line="240" w:lineRule="auto"/>
      </w:pPr>
      <w:r>
        <w:separator/>
      </w:r>
    </w:p>
  </w:footnote>
  <w:footnote w:type="continuationSeparator" w:id="0">
    <w:p w14:paraId="1E0DFCBB" w14:textId="77777777" w:rsidR="00C24B70" w:rsidRDefault="00C24B70" w:rsidP="006D6899">
      <w:pPr>
        <w:spacing w:after="0" w:line="240" w:lineRule="auto"/>
      </w:pPr>
      <w:r>
        <w:continuationSeparator/>
      </w:r>
    </w:p>
  </w:footnote>
  <w:footnote w:type="continuationNotice" w:id="1">
    <w:p w14:paraId="7595511B" w14:textId="77777777" w:rsidR="00C24B70" w:rsidRDefault="00C24B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F1A"/>
    <w:multiLevelType w:val="multilevel"/>
    <w:tmpl w:val="76AE6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23F77"/>
    <w:multiLevelType w:val="hybridMultilevel"/>
    <w:tmpl w:val="F65A8A16"/>
    <w:lvl w:ilvl="0" w:tplc="0428C69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8050D"/>
    <w:multiLevelType w:val="multilevel"/>
    <w:tmpl w:val="E72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DF2"/>
    <w:multiLevelType w:val="hybridMultilevel"/>
    <w:tmpl w:val="62388E26"/>
    <w:lvl w:ilvl="0" w:tplc="44061F3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706F2"/>
    <w:multiLevelType w:val="multilevel"/>
    <w:tmpl w:val="39C0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D5ABC"/>
    <w:multiLevelType w:val="multilevel"/>
    <w:tmpl w:val="B2FCFC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45DF0"/>
    <w:multiLevelType w:val="multilevel"/>
    <w:tmpl w:val="FC9A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03F0A"/>
    <w:multiLevelType w:val="hybridMultilevel"/>
    <w:tmpl w:val="0CB6DC52"/>
    <w:lvl w:ilvl="0" w:tplc="0428C6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A2834"/>
    <w:multiLevelType w:val="hybridMultilevel"/>
    <w:tmpl w:val="3814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37451"/>
    <w:multiLevelType w:val="hybridMultilevel"/>
    <w:tmpl w:val="1564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8"/>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48"/>
    <w:rsid w:val="00033C18"/>
    <w:rsid w:val="00051728"/>
    <w:rsid w:val="00084D57"/>
    <w:rsid w:val="000D2DE5"/>
    <w:rsid w:val="00145EE1"/>
    <w:rsid w:val="001D38C4"/>
    <w:rsid w:val="001D706D"/>
    <w:rsid w:val="00295A60"/>
    <w:rsid w:val="002A0612"/>
    <w:rsid w:val="003161F0"/>
    <w:rsid w:val="00334695"/>
    <w:rsid w:val="00354F0E"/>
    <w:rsid w:val="00360A1C"/>
    <w:rsid w:val="003A25C7"/>
    <w:rsid w:val="003E6D48"/>
    <w:rsid w:val="00402DFF"/>
    <w:rsid w:val="00462CDA"/>
    <w:rsid w:val="0047601A"/>
    <w:rsid w:val="004A604F"/>
    <w:rsid w:val="004C2A2E"/>
    <w:rsid w:val="004D6F07"/>
    <w:rsid w:val="004F755A"/>
    <w:rsid w:val="00502250"/>
    <w:rsid w:val="005577DD"/>
    <w:rsid w:val="0056141A"/>
    <w:rsid w:val="005A02C9"/>
    <w:rsid w:val="0060309F"/>
    <w:rsid w:val="0064411C"/>
    <w:rsid w:val="00684452"/>
    <w:rsid w:val="006A08D6"/>
    <w:rsid w:val="006B005F"/>
    <w:rsid w:val="006B16A2"/>
    <w:rsid w:val="006C5395"/>
    <w:rsid w:val="006D6899"/>
    <w:rsid w:val="006E314A"/>
    <w:rsid w:val="006E7E8E"/>
    <w:rsid w:val="007A35FC"/>
    <w:rsid w:val="00806748"/>
    <w:rsid w:val="00812590"/>
    <w:rsid w:val="008417FA"/>
    <w:rsid w:val="00866F4F"/>
    <w:rsid w:val="00894870"/>
    <w:rsid w:val="008B31B2"/>
    <w:rsid w:val="008D33D2"/>
    <w:rsid w:val="008E0582"/>
    <w:rsid w:val="008E682D"/>
    <w:rsid w:val="009502C4"/>
    <w:rsid w:val="009A384D"/>
    <w:rsid w:val="00A24565"/>
    <w:rsid w:val="00A44060"/>
    <w:rsid w:val="00A7316D"/>
    <w:rsid w:val="00A75691"/>
    <w:rsid w:val="00AC21EC"/>
    <w:rsid w:val="00AC5A08"/>
    <w:rsid w:val="00AE2F94"/>
    <w:rsid w:val="00AE513A"/>
    <w:rsid w:val="00B07880"/>
    <w:rsid w:val="00B35719"/>
    <w:rsid w:val="00B83C36"/>
    <w:rsid w:val="00B9275C"/>
    <w:rsid w:val="00BD74E9"/>
    <w:rsid w:val="00C24B70"/>
    <w:rsid w:val="00C66B4D"/>
    <w:rsid w:val="00CC16D5"/>
    <w:rsid w:val="00CD4401"/>
    <w:rsid w:val="00CE2950"/>
    <w:rsid w:val="00D212B2"/>
    <w:rsid w:val="00D230FF"/>
    <w:rsid w:val="00D60249"/>
    <w:rsid w:val="00D70C71"/>
    <w:rsid w:val="00D7709A"/>
    <w:rsid w:val="00D9755D"/>
    <w:rsid w:val="00DC1633"/>
    <w:rsid w:val="00DD3F07"/>
    <w:rsid w:val="00DE3C91"/>
    <w:rsid w:val="00E57569"/>
    <w:rsid w:val="00E65934"/>
    <w:rsid w:val="00E72691"/>
    <w:rsid w:val="00EB5000"/>
    <w:rsid w:val="00ED315F"/>
    <w:rsid w:val="00F03AE5"/>
    <w:rsid w:val="00F4685E"/>
    <w:rsid w:val="00F52E49"/>
    <w:rsid w:val="00F6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21F8A"/>
  <w15:chartTrackingRefBased/>
  <w15:docId w15:val="{99B052FC-8303-A342-B80F-CDC2F58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B00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B00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5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B00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00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05F"/>
    <w:rPr>
      <w:b/>
      <w:bCs/>
    </w:rPr>
  </w:style>
  <w:style w:type="character" w:styleId="Hyperlink">
    <w:name w:val="Hyperlink"/>
    <w:basedOn w:val="DefaultParagraphFont"/>
    <w:uiPriority w:val="99"/>
    <w:unhideWhenUsed/>
    <w:rsid w:val="006B005F"/>
    <w:rPr>
      <w:color w:val="0000FF"/>
      <w:u w:val="single"/>
    </w:rPr>
  </w:style>
  <w:style w:type="paragraph" w:styleId="Header">
    <w:name w:val="header"/>
    <w:basedOn w:val="Normal"/>
    <w:link w:val="HeaderChar"/>
    <w:uiPriority w:val="99"/>
    <w:unhideWhenUsed/>
    <w:rsid w:val="006D6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99"/>
  </w:style>
  <w:style w:type="paragraph" w:styleId="Footer">
    <w:name w:val="footer"/>
    <w:basedOn w:val="Normal"/>
    <w:link w:val="FooterChar"/>
    <w:uiPriority w:val="99"/>
    <w:unhideWhenUsed/>
    <w:rsid w:val="006D6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99"/>
  </w:style>
  <w:style w:type="character" w:styleId="Emphasis">
    <w:name w:val="Emphasis"/>
    <w:basedOn w:val="DefaultParagraphFont"/>
    <w:uiPriority w:val="20"/>
    <w:qFormat/>
    <w:rsid w:val="009A384D"/>
    <w:rPr>
      <w:i/>
      <w:iCs/>
    </w:rPr>
  </w:style>
  <w:style w:type="paragraph" w:styleId="ListParagraph">
    <w:name w:val="List Paragraph"/>
    <w:basedOn w:val="Normal"/>
    <w:uiPriority w:val="34"/>
    <w:qFormat/>
    <w:rsid w:val="00DE3C91"/>
    <w:pPr>
      <w:ind w:left="720"/>
      <w:contextualSpacing/>
    </w:pPr>
  </w:style>
  <w:style w:type="character" w:styleId="FollowedHyperlink">
    <w:name w:val="FollowedHyperlink"/>
    <w:basedOn w:val="DefaultParagraphFont"/>
    <w:uiPriority w:val="99"/>
    <w:semiHidden/>
    <w:unhideWhenUsed/>
    <w:rsid w:val="008E0582"/>
    <w:rPr>
      <w:color w:val="954F72" w:themeColor="followedHyperlink"/>
      <w:u w:val="single"/>
    </w:rPr>
  </w:style>
  <w:style w:type="paragraph" w:customStyle="1" w:styleId="Custtitle">
    <w:name w:val="Cust_title"/>
    <w:basedOn w:val="Normal"/>
    <w:link w:val="CusttitleChar"/>
    <w:qFormat/>
    <w:rsid w:val="0060309F"/>
    <w:pPr>
      <w:spacing w:before="100" w:beforeAutospacing="1" w:after="100" w:afterAutospacing="1" w:line="240" w:lineRule="auto"/>
      <w:outlineLvl w:val="0"/>
    </w:pPr>
    <w:rPr>
      <w:rFonts w:eastAsia="Times New Roman" w:cstheme="minorHAnsi"/>
      <w:b/>
      <w:bCs/>
      <w:color w:val="2F5496" w:themeColor="accent1" w:themeShade="BF"/>
      <w:kern w:val="36"/>
      <w:sz w:val="32"/>
      <w:szCs w:val="32"/>
    </w:rPr>
  </w:style>
  <w:style w:type="paragraph" w:styleId="Title">
    <w:name w:val="Title"/>
    <w:basedOn w:val="Normal"/>
    <w:next w:val="Normal"/>
    <w:link w:val="TitleChar"/>
    <w:uiPriority w:val="10"/>
    <w:qFormat/>
    <w:rsid w:val="006030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usttitleChar">
    <w:name w:val="Cust_title Char"/>
    <w:basedOn w:val="DefaultParagraphFont"/>
    <w:link w:val="Custtitle"/>
    <w:rsid w:val="0060309F"/>
    <w:rPr>
      <w:rFonts w:eastAsia="Times New Roman" w:cstheme="minorHAnsi"/>
      <w:b/>
      <w:bCs/>
      <w:color w:val="2F5496" w:themeColor="accent1" w:themeShade="BF"/>
      <w:kern w:val="36"/>
      <w:sz w:val="32"/>
      <w:szCs w:val="32"/>
    </w:rPr>
  </w:style>
  <w:style w:type="character" w:customStyle="1" w:styleId="TitleChar">
    <w:name w:val="Title Char"/>
    <w:basedOn w:val="DefaultParagraphFont"/>
    <w:link w:val="Title"/>
    <w:uiPriority w:val="10"/>
    <w:rsid w:val="0060309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4C2A2E"/>
    <w:rPr>
      <w:color w:val="605E5C"/>
      <w:shd w:val="clear" w:color="auto" w:fill="E1DFDD"/>
    </w:rPr>
  </w:style>
  <w:style w:type="table" w:styleId="TableGrid">
    <w:name w:val="Table Grid"/>
    <w:basedOn w:val="TableNormal"/>
    <w:uiPriority w:val="39"/>
    <w:rsid w:val="004C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9236">
      <w:bodyDiv w:val="1"/>
      <w:marLeft w:val="0"/>
      <w:marRight w:val="0"/>
      <w:marTop w:val="0"/>
      <w:marBottom w:val="0"/>
      <w:divBdr>
        <w:top w:val="none" w:sz="0" w:space="0" w:color="auto"/>
        <w:left w:val="none" w:sz="0" w:space="0" w:color="auto"/>
        <w:bottom w:val="none" w:sz="0" w:space="0" w:color="auto"/>
        <w:right w:val="none" w:sz="0" w:space="0" w:color="auto"/>
      </w:divBdr>
    </w:div>
    <w:div w:id="630669484">
      <w:bodyDiv w:val="1"/>
      <w:marLeft w:val="0"/>
      <w:marRight w:val="0"/>
      <w:marTop w:val="0"/>
      <w:marBottom w:val="0"/>
      <w:divBdr>
        <w:top w:val="none" w:sz="0" w:space="0" w:color="auto"/>
        <w:left w:val="none" w:sz="0" w:space="0" w:color="auto"/>
        <w:bottom w:val="none" w:sz="0" w:space="0" w:color="auto"/>
        <w:right w:val="none" w:sz="0" w:space="0" w:color="auto"/>
      </w:divBdr>
    </w:div>
    <w:div w:id="805439892">
      <w:bodyDiv w:val="1"/>
      <w:marLeft w:val="0"/>
      <w:marRight w:val="0"/>
      <w:marTop w:val="0"/>
      <w:marBottom w:val="0"/>
      <w:divBdr>
        <w:top w:val="none" w:sz="0" w:space="0" w:color="auto"/>
        <w:left w:val="none" w:sz="0" w:space="0" w:color="auto"/>
        <w:bottom w:val="none" w:sz="0" w:space="0" w:color="auto"/>
        <w:right w:val="none" w:sz="0" w:space="0" w:color="auto"/>
      </w:divBdr>
    </w:div>
    <w:div w:id="850069083">
      <w:bodyDiv w:val="1"/>
      <w:marLeft w:val="0"/>
      <w:marRight w:val="0"/>
      <w:marTop w:val="0"/>
      <w:marBottom w:val="0"/>
      <w:divBdr>
        <w:top w:val="none" w:sz="0" w:space="0" w:color="auto"/>
        <w:left w:val="none" w:sz="0" w:space="0" w:color="auto"/>
        <w:bottom w:val="none" w:sz="0" w:space="0" w:color="auto"/>
        <w:right w:val="none" w:sz="0" w:space="0" w:color="auto"/>
      </w:divBdr>
    </w:div>
    <w:div w:id="1087313945">
      <w:bodyDiv w:val="1"/>
      <w:marLeft w:val="0"/>
      <w:marRight w:val="0"/>
      <w:marTop w:val="0"/>
      <w:marBottom w:val="0"/>
      <w:divBdr>
        <w:top w:val="none" w:sz="0" w:space="0" w:color="auto"/>
        <w:left w:val="none" w:sz="0" w:space="0" w:color="auto"/>
        <w:bottom w:val="none" w:sz="0" w:space="0" w:color="auto"/>
        <w:right w:val="none" w:sz="0" w:space="0" w:color="auto"/>
      </w:divBdr>
    </w:div>
    <w:div w:id="1456363794">
      <w:bodyDiv w:val="1"/>
      <w:marLeft w:val="0"/>
      <w:marRight w:val="0"/>
      <w:marTop w:val="0"/>
      <w:marBottom w:val="0"/>
      <w:divBdr>
        <w:top w:val="none" w:sz="0" w:space="0" w:color="auto"/>
        <w:left w:val="none" w:sz="0" w:space="0" w:color="auto"/>
        <w:bottom w:val="none" w:sz="0" w:space="0" w:color="auto"/>
        <w:right w:val="none" w:sz="0" w:space="0" w:color="auto"/>
      </w:divBdr>
    </w:div>
    <w:div w:id="1862862455">
      <w:bodyDiv w:val="1"/>
      <w:marLeft w:val="0"/>
      <w:marRight w:val="0"/>
      <w:marTop w:val="0"/>
      <w:marBottom w:val="0"/>
      <w:divBdr>
        <w:top w:val="none" w:sz="0" w:space="0" w:color="auto"/>
        <w:left w:val="none" w:sz="0" w:space="0" w:color="auto"/>
        <w:bottom w:val="none" w:sz="0" w:space="0" w:color="auto"/>
        <w:right w:val="none" w:sz="0" w:space="0" w:color="auto"/>
      </w:divBdr>
    </w:div>
    <w:div w:id="1982925654">
      <w:bodyDiv w:val="1"/>
      <w:marLeft w:val="0"/>
      <w:marRight w:val="0"/>
      <w:marTop w:val="0"/>
      <w:marBottom w:val="0"/>
      <w:divBdr>
        <w:top w:val="none" w:sz="0" w:space="0" w:color="auto"/>
        <w:left w:val="none" w:sz="0" w:space="0" w:color="auto"/>
        <w:bottom w:val="none" w:sz="0" w:space="0" w:color="auto"/>
        <w:right w:val="none" w:sz="0" w:space="0" w:color="auto"/>
      </w:divBdr>
    </w:div>
    <w:div w:id="1985238390">
      <w:bodyDiv w:val="1"/>
      <w:marLeft w:val="0"/>
      <w:marRight w:val="0"/>
      <w:marTop w:val="0"/>
      <w:marBottom w:val="0"/>
      <w:divBdr>
        <w:top w:val="none" w:sz="0" w:space="0" w:color="auto"/>
        <w:left w:val="none" w:sz="0" w:space="0" w:color="auto"/>
        <w:bottom w:val="none" w:sz="0" w:space="0" w:color="auto"/>
        <w:right w:val="none" w:sz="0" w:space="0" w:color="auto"/>
      </w:divBdr>
      <w:divsChild>
        <w:div w:id="48281902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163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cg1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dep.org/" TargetMode="External"/><Relationship Id="rId4" Type="http://schemas.openxmlformats.org/officeDocument/2006/relationships/settings" Target="settings.xml"/><Relationship Id="rId9" Type="http://schemas.openxmlformats.org/officeDocument/2006/relationships/hyperlink" Target="http://www.sudep.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0CA8-6DD6-473B-929F-B9BDFA57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ALBIALY, Ahmed (NORTH WEST ANGLIA NHS FOUNDATION TRUST)</dc:creator>
  <cp:keywords/>
  <dc:description/>
  <cp:lastModifiedBy>Saraswatula Arun</cp:lastModifiedBy>
  <cp:revision>2</cp:revision>
  <cp:lastPrinted>2021-08-12T19:31:00Z</cp:lastPrinted>
  <dcterms:created xsi:type="dcterms:W3CDTF">2022-01-02T12:49:00Z</dcterms:created>
  <dcterms:modified xsi:type="dcterms:W3CDTF">2022-01-02T12:49:00Z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aab7238b-a056-3118-901c-fed540647813</vt:lpwstr>
  </property>
</Properties>
</file>