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91D60" w14:textId="77777777" w:rsidR="009A0DB6" w:rsidRDefault="009A0DB6" w:rsidP="00354459">
      <w:pPr>
        <w:jc w:val="center"/>
        <w:rPr>
          <w:b/>
          <w:bCs/>
        </w:rPr>
      </w:pPr>
    </w:p>
    <w:p w14:paraId="7D1886B7" w14:textId="77777777" w:rsidR="009A0DB6" w:rsidRPr="00786F57" w:rsidRDefault="00C73D98" w:rsidP="00354459">
      <w:pPr>
        <w:jc w:val="center"/>
        <w:rPr>
          <w:b/>
          <w:bCs/>
          <w:sz w:val="28"/>
          <w:szCs w:val="28"/>
        </w:rPr>
      </w:pPr>
      <w:r w:rsidRPr="00786F57">
        <w:rPr>
          <w:b/>
          <w:bCs/>
          <w:sz w:val="28"/>
          <w:szCs w:val="28"/>
        </w:rPr>
        <w:t xml:space="preserve">Guideline &amp; </w:t>
      </w:r>
      <w:r w:rsidR="00D77399" w:rsidRPr="00786F57">
        <w:rPr>
          <w:b/>
          <w:bCs/>
          <w:sz w:val="28"/>
          <w:szCs w:val="28"/>
        </w:rPr>
        <w:t>R</w:t>
      </w:r>
      <w:r w:rsidRPr="00786F57">
        <w:rPr>
          <w:b/>
          <w:bCs/>
          <w:sz w:val="28"/>
          <w:szCs w:val="28"/>
        </w:rPr>
        <w:t xml:space="preserve">eferral pathway for </w:t>
      </w:r>
      <w:r w:rsidR="00D77399" w:rsidRPr="00786F57">
        <w:rPr>
          <w:b/>
          <w:bCs/>
          <w:sz w:val="28"/>
          <w:szCs w:val="28"/>
        </w:rPr>
        <w:t>C</w:t>
      </w:r>
      <w:r w:rsidRPr="00786F57">
        <w:rPr>
          <w:b/>
          <w:bCs/>
          <w:sz w:val="28"/>
          <w:szCs w:val="28"/>
        </w:rPr>
        <w:t xml:space="preserve">hildren with Seizures and </w:t>
      </w:r>
      <w:r w:rsidR="00D77399" w:rsidRPr="00786F57">
        <w:rPr>
          <w:b/>
          <w:bCs/>
          <w:sz w:val="28"/>
          <w:szCs w:val="28"/>
        </w:rPr>
        <w:t>S</w:t>
      </w:r>
      <w:r w:rsidRPr="00786F57">
        <w:rPr>
          <w:b/>
          <w:bCs/>
          <w:sz w:val="28"/>
          <w:szCs w:val="28"/>
        </w:rPr>
        <w:t xml:space="preserve">tructural brain </w:t>
      </w:r>
      <w:r w:rsidR="00354459" w:rsidRPr="00786F57">
        <w:rPr>
          <w:b/>
          <w:bCs/>
          <w:sz w:val="28"/>
          <w:szCs w:val="28"/>
        </w:rPr>
        <w:t>lesion</w:t>
      </w:r>
      <w:r w:rsidR="009A0DB6" w:rsidRPr="00786F57">
        <w:rPr>
          <w:b/>
          <w:bCs/>
          <w:sz w:val="28"/>
          <w:szCs w:val="28"/>
        </w:rPr>
        <w:t xml:space="preserve"> </w:t>
      </w:r>
    </w:p>
    <w:p w14:paraId="6683F970" w14:textId="512E32CD" w:rsidR="00C73D98" w:rsidRPr="00786F57" w:rsidRDefault="00354459" w:rsidP="00354459">
      <w:pPr>
        <w:jc w:val="center"/>
        <w:rPr>
          <w:b/>
          <w:bCs/>
          <w:sz w:val="28"/>
          <w:szCs w:val="28"/>
          <w:lang w:val="en-US"/>
        </w:rPr>
      </w:pPr>
      <w:r w:rsidRPr="00786F57">
        <w:rPr>
          <w:b/>
          <w:bCs/>
          <w:sz w:val="28"/>
          <w:szCs w:val="28"/>
        </w:rPr>
        <w:t>(</w:t>
      </w:r>
      <w:r w:rsidR="009A0DB6" w:rsidRPr="00786F57">
        <w:rPr>
          <w:b/>
          <w:bCs/>
          <w:sz w:val="28"/>
          <w:szCs w:val="28"/>
        </w:rPr>
        <w:t>Excludes</w:t>
      </w:r>
      <w:r w:rsidR="00C73D98" w:rsidRPr="00786F57">
        <w:rPr>
          <w:b/>
          <w:bCs/>
          <w:sz w:val="28"/>
          <w:szCs w:val="28"/>
        </w:rPr>
        <w:t xml:space="preserve"> </w:t>
      </w:r>
      <w:r w:rsidR="009A0DB6" w:rsidRPr="00786F57">
        <w:rPr>
          <w:b/>
          <w:bCs/>
          <w:sz w:val="28"/>
          <w:szCs w:val="28"/>
          <w:lang w:val="en-US"/>
        </w:rPr>
        <w:t>A</w:t>
      </w:r>
      <w:r w:rsidR="00C73D98" w:rsidRPr="00786F57">
        <w:rPr>
          <w:b/>
          <w:bCs/>
          <w:sz w:val="28"/>
          <w:szCs w:val="28"/>
          <w:lang w:val="en-US"/>
        </w:rPr>
        <w:t xml:space="preserve">cute </w:t>
      </w:r>
      <w:r w:rsidR="008F054C" w:rsidRPr="00786F57">
        <w:rPr>
          <w:b/>
          <w:bCs/>
          <w:sz w:val="28"/>
          <w:szCs w:val="28"/>
          <w:lang w:val="en-US"/>
        </w:rPr>
        <w:t>N</w:t>
      </w:r>
      <w:r w:rsidR="00C73D98" w:rsidRPr="00786F57">
        <w:rPr>
          <w:b/>
          <w:bCs/>
          <w:sz w:val="28"/>
          <w:szCs w:val="28"/>
          <w:lang w:val="en-US"/>
        </w:rPr>
        <w:t xml:space="preserve">eurosurgical </w:t>
      </w:r>
      <w:r w:rsidR="008F054C" w:rsidRPr="00786F57">
        <w:rPr>
          <w:b/>
          <w:bCs/>
          <w:sz w:val="28"/>
          <w:szCs w:val="28"/>
          <w:lang w:val="en-US"/>
        </w:rPr>
        <w:t>E</w:t>
      </w:r>
      <w:r w:rsidR="00C73D98" w:rsidRPr="00786F57">
        <w:rPr>
          <w:b/>
          <w:bCs/>
          <w:sz w:val="28"/>
          <w:szCs w:val="28"/>
          <w:lang w:val="en-US"/>
        </w:rPr>
        <w:t xml:space="preserve">mergencies requiring </w:t>
      </w:r>
      <w:r w:rsidR="008F054C" w:rsidRPr="00786F57">
        <w:rPr>
          <w:b/>
          <w:bCs/>
          <w:sz w:val="28"/>
          <w:szCs w:val="28"/>
          <w:lang w:val="en-US"/>
        </w:rPr>
        <w:t>T</w:t>
      </w:r>
      <w:r w:rsidR="00C73D98" w:rsidRPr="00786F57">
        <w:rPr>
          <w:b/>
          <w:bCs/>
          <w:sz w:val="28"/>
          <w:szCs w:val="28"/>
          <w:lang w:val="en-US"/>
        </w:rPr>
        <w:t>ime-critical transfer)</w:t>
      </w:r>
    </w:p>
    <w:p w14:paraId="53E6DBF4" w14:textId="5A910E4F" w:rsidR="00C73D98" w:rsidRDefault="00C73D98" w:rsidP="00C73D98">
      <w:pPr>
        <w:rPr>
          <w:b/>
          <w:bCs/>
          <w:lang w:val="en-US"/>
        </w:rPr>
      </w:pPr>
    </w:p>
    <w:p w14:paraId="7005272F" w14:textId="77777777" w:rsidR="00C73D98" w:rsidRPr="00E25757" w:rsidRDefault="00C73D98" w:rsidP="00C73D98">
      <w:pPr>
        <w:rPr>
          <w:b/>
          <w:bCs/>
        </w:rPr>
      </w:pPr>
      <w:r w:rsidRPr="00E25757">
        <w:rPr>
          <w:b/>
          <w:bCs/>
        </w:rPr>
        <w:t xml:space="preserve">Background and </w:t>
      </w:r>
      <w:r>
        <w:rPr>
          <w:b/>
          <w:bCs/>
        </w:rPr>
        <w:t>Aims</w:t>
      </w:r>
      <w:r w:rsidRPr="00E25757">
        <w:rPr>
          <w:b/>
          <w:bCs/>
        </w:rPr>
        <w:t>:</w:t>
      </w:r>
    </w:p>
    <w:p w14:paraId="3BA9980A" w14:textId="77777777" w:rsidR="00FC4418" w:rsidRDefault="00FC4418" w:rsidP="00C73D98"/>
    <w:p w14:paraId="10BD2CB0" w14:textId="7EB9DEE9" w:rsidR="00C73D98" w:rsidRDefault="00C73D98" w:rsidP="00C73D98">
      <w:r>
        <w:t xml:space="preserve">This document has been developed to clarify the referral pathway of children with Seizures and a suspected brain lesion. It aims to ensure that children with seizures and brain lesion are referred promptly via the correct pathway to the appropriate team, and, that there is robust communication between teams on ongoing management of these children. </w:t>
      </w:r>
    </w:p>
    <w:p w14:paraId="44682418" w14:textId="77777777" w:rsidR="00C73D98" w:rsidRDefault="00C73D98" w:rsidP="00C73D98"/>
    <w:p w14:paraId="6A3D837C" w14:textId="43BD5724" w:rsidR="00C73D98" w:rsidRPr="00241869" w:rsidRDefault="00C73D98" w:rsidP="00C73D98">
      <w:pPr>
        <w:pStyle w:val="ListParagraph"/>
        <w:numPr>
          <w:ilvl w:val="0"/>
          <w:numId w:val="4"/>
        </w:numPr>
        <w:spacing w:after="200" w:line="276" w:lineRule="auto"/>
      </w:pPr>
      <w:r>
        <w:t xml:space="preserve">Children and young people (CYP) with brain lesion and seizures may have an oncological diagnosis like brain tumours requiring expert involvement of Paediatric Oncologists and neurosurgeons. Their care would be best provided via shared care pathway for Paediatric oncology care involving the </w:t>
      </w:r>
      <w:r w:rsidRPr="00E545A9">
        <w:rPr>
          <w:b/>
          <w:bCs/>
        </w:rPr>
        <w:t>PTC (Principal Treatment Centre)</w:t>
      </w:r>
      <w:r>
        <w:t xml:space="preserve"> and </w:t>
      </w:r>
      <w:r w:rsidRPr="00E82706">
        <w:rPr>
          <w:b/>
          <w:bCs/>
        </w:rPr>
        <w:t>POSCU</w:t>
      </w:r>
      <w:r w:rsidR="00E82706" w:rsidRPr="00E82706">
        <w:rPr>
          <w:b/>
          <w:bCs/>
        </w:rPr>
        <w:t xml:space="preserve"> (Paediatric oncology share care units)</w:t>
      </w:r>
      <w:r w:rsidRPr="00E82706">
        <w:rPr>
          <w:b/>
          <w:bCs/>
        </w:rPr>
        <w:t>,</w:t>
      </w:r>
      <w:r>
        <w:t xml:space="preserve"> which are affiliated to the Children’s cancer and Leukaemia group (CCLG).</w:t>
      </w:r>
      <w:r w:rsidRPr="00241869">
        <w:rPr>
          <w:rFonts w:ascii="ArialMT" w:eastAsia="Times New Roman" w:hAnsi="ArialMT"/>
          <w:lang w:eastAsia="en-GB"/>
        </w:rPr>
        <w:t xml:space="preserve"> </w:t>
      </w:r>
      <w:r w:rsidRPr="00E545A9">
        <w:rPr>
          <w:rFonts w:ascii="ArialMT" w:eastAsia="Times New Roman" w:hAnsi="ArialMT"/>
          <w:b/>
          <w:bCs/>
          <w:lang w:eastAsia="en-GB"/>
        </w:rPr>
        <w:t>A</w:t>
      </w:r>
      <w:r w:rsidRPr="00E545A9">
        <w:rPr>
          <w:b/>
          <w:bCs/>
        </w:rPr>
        <w:t>ddenbrooke’s Hospital (CUHFT)</w:t>
      </w:r>
      <w:r w:rsidRPr="00241869">
        <w:t xml:space="preserve"> is the specialist centre which co-ordinates </w:t>
      </w:r>
      <w:r>
        <w:t xml:space="preserve">oncology </w:t>
      </w:r>
      <w:r w:rsidRPr="00241869">
        <w:t xml:space="preserve">care for the </w:t>
      </w:r>
      <w:r w:rsidRPr="00E545A9">
        <w:t>eastern region</w:t>
      </w:r>
      <w:r w:rsidRPr="00241869">
        <w:t xml:space="preserve">, and was designated by the East of England Specialised Commissioning Group (SCG) as the </w:t>
      </w:r>
      <w:r w:rsidRPr="00241869">
        <w:rPr>
          <w:b/>
          <w:bCs/>
        </w:rPr>
        <w:t xml:space="preserve">East of England Principal Treatment Centre (PTC) </w:t>
      </w:r>
      <w:r w:rsidRPr="00241869">
        <w:t>for Paediatric Oncology</w:t>
      </w:r>
      <w:r>
        <w:t>.</w:t>
      </w:r>
      <w:r w:rsidR="00E82706">
        <w:t xml:space="preserve"> </w:t>
      </w:r>
      <w:r w:rsidRPr="00E82706">
        <w:rPr>
          <w:b/>
          <w:bCs/>
        </w:rPr>
        <w:t xml:space="preserve">(Appendix 1) </w:t>
      </w:r>
      <w:r w:rsidRPr="00241869">
        <w:t xml:space="preserve">Within the eastern region, a proportion of patient care can be provided closer to their home in one of 10 named hospitals. In this context they are referred to as the </w:t>
      </w:r>
      <w:r w:rsidRPr="00241869">
        <w:rPr>
          <w:b/>
          <w:bCs/>
        </w:rPr>
        <w:t>Paediatric Oncology Shared Care Units (POSCUs)</w:t>
      </w:r>
      <w:r>
        <w:rPr>
          <w:b/>
          <w:bCs/>
        </w:rPr>
        <w:t>(App</w:t>
      </w:r>
      <w:r w:rsidR="00E82706">
        <w:rPr>
          <w:b/>
          <w:bCs/>
        </w:rPr>
        <w:t>endix 2 for Eastern region POSCU</w:t>
      </w:r>
      <w:r>
        <w:rPr>
          <w:b/>
          <w:bCs/>
        </w:rPr>
        <w:t>)</w:t>
      </w:r>
      <w:r w:rsidRPr="00241869">
        <w:rPr>
          <w:b/>
          <w:bCs/>
        </w:rPr>
        <w:t xml:space="preserve">. </w:t>
      </w:r>
    </w:p>
    <w:p w14:paraId="54EA12EC" w14:textId="77777777" w:rsidR="00C73D98" w:rsidRDefault="00C73D98" w:rsidP="00C73D98">
      <w:pPr>
        <w:pStyle w:val="ListParagraph"/>
        <w:numPr>
          <w:ilvl w:val="0"/>
          <w:numId w:val="4"/>
        </w:numPr>
        <w:spacing w:after="200" w:line="276" w:lineRule="auto"/>
      </w:pPr>
      <w:r>
        <w:t xml:space="preserve">They can also have non-tumour diagnosis for </w:t>
      </w:r>
      <w:proofErr w:type="spellStart"/>
      <w:r>
        <w:t>e.g</w:t>
      </w:r>
      <w:proofErr w:type="spellEnd"/>
      <w:r>
        <w:t xml:space="preserve"> developmental cortical dysplasia, temporal lobe sclerosis etc, which are mainly cortical lesions with propensity for epileptic seizures, neurodevelopmental and behavioural issues, memory problems, learning difficulties and psychological/psychiatric problems. Such children would benefit from multidisciplinary team involvement including neurologists, neurosurgeons, neuropsychological assessment, support from clinical psychologist, and careful evaluation of the CYPE for suitability of epilepsy surgery via designated </w:t>
      </w:r>
      <w:r w:rsidRPr="002C308B">
        <w:rPr>
          <w:b/>
          <w:bCs/>
        </w:rPr>
        <w:t>Children’s Epilepsy Surgery Service (CESS)</w:t>
      </w:r>
      <w:r>
        <w:t xml:space="preserve"> centre. </w:t>
      </w:r>
    </w:p>
    <w:p w14:paraId="32E4D0A3" w14:textId="77777777" w:rsidR="00C73D98" w:rsidRDefault="00C73D98" w:rsidP="00C73D98">
      <w:pPr>
        <w:pStyle w:val="ListParagraph"/>
        <w:numPr>
          <w:ilvl w:val="0"/>
          <w:numId w:val="4"/>
        </w:numPr>
        <w:spacing w:after="200" w:line="276" w:lineRule="auto"/>
      </w:pPr>
      <w:r>
        <w:t>Children with developmental tumours or benign (non-cancerous) tumours with epilepsy as the predominant symptom may also benefit from referral via CESS pathway.</w:t>
      </w:r>
    </w:p>
    <w:p w14:paraId="0F503452" w14:textId="77777777" w:rsidR="00C73D98" w:rsidRPr="00E25757" w:rsidRDefault="00C73D98" w:rsidP="00C73D98">
      <w:pPr>
        <w:rPr>
          <w:b/>
          <w:bCs/>
        </w:rPr>
      </w:pPr>
      <w:r w:rsidRPr="00E25757">
        <w:rPr>
          <w:b/>
          <w:bCs/>
        </w:rPr>
        <w:t>Who does it apply to:</w:t>
      </w:r>
    </w:p>
    <w:p w14:paraId="12F3D43B" w14:textId="29AD0FBF" w:rsidR="00C73D98" w:rsidRDefault="00C73D98" w:rsidP="00C73D98">
      <w:r>
        <w:t xml:space="preserve">This guidance applies to all children and young people between 0-16 years, presenting within DGH in </w:t>
      </w:r>
      <w:r w:rsidR="00E82706">
        <w:t>East of England (</w:t>
      </w:r>
      <w:proofErr w:type="spellStart"/>
      <w:r>
        <w:t>EoE</w:t>
      </w:r>
      <w:proofErr w:type="spellEnd"/>
      <w:r w:rsidR="00E82706">
        <w:t>)</w:t>
      </w:r>
      <w:r>
        <w:t>, with brain lesion and recurrent seizures (</w:t>
      </w:r>
      <w:proofErr w:type="spellStart"/>
      <w:r>
        <w:t>lesional</w:t>
      </w:r>
      <w:proofErr w:type="spellEnd"/>
      <w:r>
        <w:t xml:space="preserve"> epilepsies)</w:t>
      </w:r>
    </w:p>
    <w:p w14:paraId="7857621E" w14:textId="77777777" w:rsidR="00C73D98" w:rsidRDefault="00C73D98" w:rsidP="00C73D98"/>
    <w:p w14:paraId="2F2195E1" w14:textId="77777777" w:rsidR="00C73D98" w:rsidRPr="00E25757" w:rsidRDefault="00C73D98" w:rsidP="00C73D98">
      <w:pPr>
        <w:rPr>
          <w:b/>
          <w:bCs/>
        </w:rPr>
      </w:pPr>
      <w:r w:rsidRPr="00E25757">
        <w:rPr>
          <w:b/>
          <w:bCs/>
        </w:rPr>
        <w:t xml:space="preserve">Excluded from guideline:  </w:t>
      </w:r>
    </w:p>
    <w:p w14:paraId="234239FA" w14:textId="10C37B53" w:rsidR="00C73D98" w:rsidRDefault="00C73D98" w:rsidP="00C73D98">
      <w:r>
        <w:t xml:space="preserve">It excludes children presenting with acute neurosurgical emergencies with seizures requiring time-critical transfer to a neurosurgical </w:t>
      </w:r>
      <w:r w:rsidR="00354459">
        <w:t>centre. -</w:t>
      </w:r>
      <w:r>
        <w:t xml:space="preserve"> for </w:t>
      </w:r>
      <w:proofErr w:type="spellStart"/>
      <w:r>
        <w:t>e.g</w:t>
      </w:r>
      <w:proofErr w:type="spellEnd"/>
      <w:r>
        <w:t xml:space="preserve"> head injuries, stroke, focal seizures </w:t>
      </w:r>
    </w:p>
    <w:p w14:paraId="367FA64A" w14:textId="0C3D56B3" w:rsidR="00C73D98" w:rsidRDefault="00C73D98" w:rsidP="00C73D98">
      <w:r>
        <w:t>due to blocked shunt. Such children should be managed as per the guidance for time-critical neurosurgical transfer guidelin</w:t>
      </w:r>
      <w:r w:rsidR="00E82706">
        <w:t xml:space="preserve">e </w:t>
      </w:r>
      <w:r w:rsidR="00E82706" w:rsidRPr="00E82706">
        <w:rPr>
          <w:b/>
          <w:bCs/>
        </w:rPr>
        <w:t xml:space="preserve">(Appendix </w:t>
      </w:r>
      <w:r w:rsidR="004C4579">
        <w:rPr>
          <w:b/>
          <w:bCs/>
        </w:rPr>
        <w:t>3</w:t>
      </w:r>
      <w:r w:rsidR="00E82706" w:rsidRPr="00E82706">
        <w:rPr>
          <w:b/>
          <w:bCs/>
        </w:rPr>
        <w:t>).</w:t>
      </w:r>
      <w:r w:rsidRPr="002C024C">
        <w:rPr>
          <w:color w:val="FF0000"/>
        </w:rPr>
        <w:t xml:space="preserve"> </w:t>
      </w:r>
      <w:r>
        <w:t xml:space="preserve">Acutely unwell children with suspected brain tumour should be managed  via urgent discussion with neurosurgeons and oncologists. They may need dexamethasone, urgent stabilisation and transfer to neurosurgical centre. </w:t>
      </w:r>
    </w:p>
    <w:p w14:paraId="5A1B3EA5" w14:textId="77777777" w:rsidR="00C73D98" w:rsidRPr="004D13DE" w:rsidRDefault="00C73D98" w:rsidP="00C73D98">
      <w:pPr>
        <w:rPr>
          <w:b/>
          <w:bCs/>
        </w:rPr>
      </w:pPr>
    </w:p>
    <w:p w14:paraId="04FA3FCF" w14:textId="77777777" w:rsidR="00C73D98" w:rsidRDefault="00C73D98" w:rsidP="00C73D98">
      <w:pPr>
        <w:rPr>
          <w:b/>
          <w:bCs/>
        </w:rPr>
      </w:pPr>
    </w:p>
    <w:p w14:paraId="213A4ED1" w14:textId="77777777" w:rsidR="00C73D98" w:rsidRDefault="00C73D98" w:rsidP="00C73D98">
      <w:pPr>
        <w:rPr>
          <w:b/>
          <w:bCs/>
        </w:rPr>
      </w:pPr>
    </w:p>
    <w:p w14:paraId="57914BF3" w14:textId="77777777" w:rsidR="00C73D98" w:rsidRDefault="00C73D98" w:rsidP="00C73D98">
      <w:pPr>
        <w:rPr>
          <w:b/>
          <w:bCs/>
        </w:rPr>
      </w:pPr>
    </w:p>
    <w:p w14:paraId="49AC831A" w14:textId="77777777" w:rsidR="00C73D98" w:rsidRDefault="00C73D98" w:rsidP="00C73D98">
      <w:pPr>
        <w:rPr>
          <w:b/>
          <w:bCs/>
        </w:rPr>
      </w:pPr>
    </w:p>
    <w:p w14:paraId="50D73512" w14:textId="2CEF51DC" w:rsidR="009A0DB6" w:rsidRDefault="00C73D98" w:rsidP="00C73D98">
      <w:pPr>
        <w:rPr>
          <w:b/>
          <w:bCs/>
        </w:rPr>
      </w:pPr>
      <w:r w:rsidRPr="004D13DE">
        <w:rPr>
          <w:b/>
          <w:bCs/>
        </w:rPr>
        <w:t>Quick view flow chart</w:t>
      </w:r>
    </w:p>
    <w:p w14:paraId="742433E5" w14:textId="77777777" w:rsidR="00A736D8" w:rsidRPr="009A0DB6" w:rsidRDefault="00A736D8" w:rsidP="00C73D98">
      <w:pPr>
        <w:rPr>
          <w:b/>
          <w:bCs/>
        </w:rPr>
      </w:pPr>
    </w:p>
    <w:p w14:paraId="36BF169F" w14:textId="31C2110B" w:rsidR="00C73D98" w:rsidRDefault="00C73D98" w:rsidP="00C73D98">
      <w:pPr>
        <w:rPr>
          <w:b/>
          <w:bCs/>
        </w:rPr>
      </w:pPr>
    </w:p>
    <w:p w14:paraId="5F182AE5" w14:textId="3AEC0497" w:rsidR="00C73D98" w:rsidRDefault="00A736D8" w:rsidP="00A736D8">
      <w:pPr>
        <w:jc w:val="center"/>
        <w:rPr>
          <w:b/>
          <w:bCs/>
        </w:rPr>
      </w:pPr>
      <w:r>
        <w:rPr>
          <w:b/>
          <w:bCs/>
          <w:noProof/>
        </w:rPr>
        <w:drawing>
          <wp:inline distT="0" distB="0" distL="0" distR="0" wp14:anchorId="216EDD31" wp14:editId="3A5F4DFE">
            <wp:extent cx="5842000" cy="7353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6745" cy="7359272"/>
                    </a:xfrm>
                    <a:prstGeom prst="rect">
                      <a:avLst/>
                    </a:prstGeom>
                    <a:noFill/>
                  </pic:spPr>
                </pic:pic>
              </a:graphicData>
            </a:graphic>
          </wp:inline>
        </w:drawing>
      </w:r>
    </w:p>
    <w:p w14:paraId="420CE029" w14:textId="77777777" w:rsidR="00A736D8" w:rsidRDefault="00A736D8" w:rsidP="009A0DB6">
      <w:pPr>
        <w:ind w:firstLine="720"/>
        <w:rPr>
          <w:b/>
          <w:bCs/>
        </w:rPr>
      </w:pPr>
    </w:p>
    <w:p w14:paraId="3DF79E39" w14:textId="77777777" w:rsidR="00A736D8" w:rsidRDefault="00A736D8" w:rsidP="009A0DB6">
      <w:pPr>
        <w:ind w:firstLine="720"/>
        <w:rPr>
          <w:b/>
          <w:bCs/>
        </w:rPr>
      </w:pPr>
    </w:p>
    <w:p w14:paraId="76A2731C" w14:textId="77777777" w:rsidR="00A736D8" w:rsidRDefault="00A736D8" w:rsidP="009A0DB6">
      <w:pPr>
        <w:ind w:firstLine="720"/>
        <w:rPr>
          <w:b/>
          <w:bCs/>
        </w:rPr>
      </w:pPr>
    </w:p>
    <w:p w14:paraId="5F67A78D" w14:textId="77777777" w:rsidR="00A736D8" w:rsidRDefault="00A736D8" w:rsidP="009A0DB6">
      <w:pPr>
        <w:ind w:firstLine="720"/>
        <w:rPr>
          <w:b/>
          <w:bCs/>
        </w:rPr>
      </w:pPr>
    </w:p>
    <w:p w14:paraId="0BEE879D" w14:textId="77777777" w:rsidR="00A736D8" w:rsidRDefault="00A736D8" w:rsidP="009A0DB6">
      <w:pPr>
        <w:ind w:firstLine="720"/>
        <w:rPr>
          <w:b/>
          <w:bCs/>
        </w:rPr>
      </w:pPr>
    </w:p>
    <w:p w14:paraId="09D858C1" w14:textId="77777777" w:rsidR="00A736D8" w:rsidRDefault="00A736D8" w:rsidP="009A0DB6">
      <w:pPr>
        <w:ind w:firstLine="720"/>
        <w:rPr>
          <w:b/>
          <w:bCs/>
        </w:rPr>
      </w:pPr>
    </w:p>
    <w:p w14:paraId="3CE4AD03" w14:textId="6C670FDC" w:rsidR="00C73D98" w:rsidRDefault="00C73D98" w:rsidP="009A0DB6">
      <w:pPr>
        <w:ind w:firstLine="720"/>
        <w:rPr>
          <w:b/>
          <w:bCs/>
        </w:rPr>
      </w:pPr>
      <w:r w:rsidRPr="002C024C">
        <w:rPr>
          <w:b/>
          <w:bCs/>
        </w:rPr>
        <w:t>Referral guidance:</w:t>
      </w:r>
    </w:p>
    <w:p w14:paraId="0F1ED551" w14:textId="77777777" w:rsidR="00FC4418" w:rsidRPr="002C024C" w:rsidRDefault="00FC4418" w:rsidP="00C73D98">
      <w:pPr>
        <w:rPr>
          <w:b/>
          <w:bCs/>
        </w:rPr>
      </w:pPr>
    </w:p>
    <w:p w14:paraId="1B6A1842" w14:textId="40A4B1A7" w:rsidR="00FC4418" w:rsidRDefault="00C11832" w:rsidP="00FC4418">
      <w:pPr>
        <w:pStyle w:val="ListParagraph"/>
        <w:numPr>
          <w:ilvl w:val="1"/>
          <w:numId w:val="6"/>
        </w:numPr>
        <w:spacing w:after="200" w:line="276" w:lineRule="auto"/>
      </w:pPr>
      <w:r>
        <w:t xml:space="preserve">In a DGH, </w:t>
      </w:r>
      <w:r w:rsidR="00C73D98">
        <w:t>CYP with structural brain lesion and seizures may be identified with imaging either during an acute presentation</w:t>
      </w:r>
      <w:r>
        <w:t xml:space="preserve"> </w:t>
      </w:r>
      <w:r w:rsidR="00C73D98">
        <w:t xml:space="preserve">or </w:t>
      </w:r>
      <w:r>
        <w:t>following imaging after</w:t>
      </w:r>
      <w:r w:rsidR="00C73D98">
        <w:t xml:space="preserve"> outpatient consultation </w:t>
      </w:r>
    </w:p>
    <w:p w14:paraId="0940318F" w14:textId="77777777" w:rsidR="00FC4418" w:rsidRDefault="00FC4418" w:rsidP="00FC4418">
      <w:pPr>
        <w:pStyle w:val="ListParagraph"/>
        <w:spacing w:after="200" w:line="276" w:lineRule="auto"/>
        <w:ind w:left="1080"/>
      </w:pPr>
    </w:p>
    <w:p w14:paraId="6720A467" w14:textId="7F4BC211" w:rsidR="00FC4418" w:rsidRDefault="00C73D98" w:rsidP="00FC4418">
      <w:pPr>
        <w:pStyle w:val="ListParagraph"/>
        <w:numPr>
          <w:ilvl w:val="1"/>
          <w:numId w:val="6"/>
        </w:numPr>
        <w:spacing w:after="200" w:line="276" w:lineRule="auto"/>
      </w:pPr>
      <w:r>
        <w:t xml:space="preserve">If the CYP requires urgent time-critical neurosurgical transfer and intervention, then, they should be managed as per that guideline </w:t>
      </w:r>
      <w:r w:rsidR="00E82706" w:rsidRPr="00E82706">
        <w:rPr>
          <w:b/>
          <w:bCs/>
        </w:rPr>
        <w:t xml:space="preserve">(Appendix </w:t>
      </w:r>
      <w:r w:rsidR="004C4579">
        <w:rPr>
          <w:b/>
          <w:bCs/>
        </w:rPr>
        <w:t>3</w:t>
      </w:r>
      <w:r w:rsidR="00E82706" w:rsidRPr="00E82706">
        <w:rPr>
          <w:b/>
          <w:bCs/>
        </w:rPr>
        <w:t>)</w:t>
      </w:r>
    </w:p>
    <w:p w14:paraId="0ED0462B" w14:textId="77777777" w:rsidR="00FC4418" w:rsidRDefault="00FC4418" w:rsidP="00FC4418">
      <w:pPr>
        <w:pStyle w:val="ListParagraph"/>
        <w:spacing w:after="200" w:line="276" w:lineRule="auto"/>
        <w:ind w:left="1080"/>
      </w:pPr>
    </w:p>
    <w:p w14:paraId="227AB829" w14:textId="6A4FF9E1" w:rsidR="00C73D98" w:rsidRDefault="00C73D98" w:rsidP="00C73D98">
      <w:pPr>
        <w:pStyle w:val="ListParagraph"/>
        <w:numPr>
          <w:ilvl w:val="1"/>
          <w:numId w:val="6"/>
        </w:numPr>
        <w:spacing w:after="200" w:line="276" w:lineRule="auto"/>
      </w:pPr>
      <w:r>
        <w:t xml:space="preserve">If imaging shows a non-oncological diagnosis: </w:t>
      </w:r>
      <w:proofErr w:type="spellStart"/>
      <w:r>
        <w:t>e.g</w:t>
      </w:r>
      <w:proofErr w:type="spellEnd"/>
      <w:r>
        <w:t xml:space="preserve"> focal cortical dysplasia, mesial temporal sclerosis, then, CYP to be managed by Paediatrician with special interest in epilepsy and/or </w:t>
      </w:r>
      <w:r w:rsidR="007102BA">
        <w:t xml:space="preserve">a </w:t>
      </w:r>
      <w:r>
        <w:t>Paediatric neurologist. If the child fulfils the criteria for epilepsy surgery assessment, then, they should be referred to CESS centre at GOSH. It is important that there is discussion between the local paediatrician and Paediatric neurologist before the referral to CESS centre. However, a Paediatric Neurologist review or discussion should not delay the referral to epilepsy surgery service. If for some reason, the local Paediatrician is unable to have preliminary discussion with Paediatric Neurologist</w:t>
      </w:r>
      <w:r w:rsidR="007102BA">
        <w:t xml:space="preserve"> </w:t>
      </w:r>
      <w:r>
        <w:t xml:space="preserve">( for </w:t>
      </w:r>
      <w:proofErr w:type="spellStart"/>
      <w:r>
        <w:t>e.g</w:t>
      </w:r>
      <w:proofErr w:type="spellEnd"/>
      <w:r>
        <w:t xml:space="preserve"> annual leave), then, they should ensure that they copy the Paediatric neurologist in the referral and subsequent correspondence. This will then enable the Paediatric Neurologist to subsequently review the child jointly with a shared care approach with the epilepsy surgery team and the local Paediatric team</w:t>
      </w:r>
    </w:p>
    <w:p w14:paraId="19320D40" w14:textId="77777777" w:rsidR="00FC4418" w:rsidRDefault="00FC4418" w:rsidP="00FC4418">
      <w:pPr>
        <w:pStyle w:val="ListParagraph"/>
        <w:spacing w:after="200" w:line="276" w:lineRule="auto"/>
        <w:ind w:left="1080"/>
      </w:pPr>
    </w:p>
    <w:p w14:paraId="58F7BCA8" w14:textId="1A7D4214" w:rsidR="00C73D98" w:rsidRDefault="00C73D98" w:rsidP="00C73D98">
      <w:pPr>
        <w:pStyle w:val="ListParagraph"/>
        <w:numPr>
          <w:ilvl w:val="1"/>
          <w:numId w:val="6"/>
        </w:numPr>
        <w:spacing w:after="200" w:line="276" w:lineRule="auto"/>
      </w:pPr>
      <w:r>
        <w:t xml:space="preserve">If there is a suspected brain tumour or the lesion is unclear, then, the Paediatrician should discuss with a) local oncology </w:t>
      </w:r>
      <w:r w:rsidR="00786F57">
        <w:t xml:space="preserve">consultant </w:t>
      </w:r>
      <w:r>
        <w:t xml:space="preserve">and make an urgent referral to </w:t>
      </w:r>
      <w:r w:rsidR="00282FAD">
        <w:t xml:space="preserve">on call Paed </w:t>
      </w:r>
      <w:r>
        <w:t xml:space="preserve">oncology </w:t>
      </w:r>
      <w:r w:rsidR="00282FAD">
        <w:t xml:space="preserve">or Paed neurology </w:t>
      </w:r>
      <w:r>
        <w:t xml:space="preserve">team at Addenbrookes for discussion in neuro-oncology MDT meeting. The </w:t>
      </w:r>
      <w:proofErr w:type="spellStart"/>
      <w:r w:rsidR="00786F57">
        <w:t>N</w:t>
      </w:r>
      <w:r>
        <w:t>eurooncology</w:t>
      </w:r>
      <w:proofErr w:type="spellEnd"/>
      <w:r>
        <w:t xml:space="preserve"> M</w:t>
      </w:r>
      <w:r w:rsidR="007102BA">
        <w:t>ultidisciplinary team</w:t>
      </w:r>
      <w:r>
        <w:t xml:space="preserve"> is represented by a Paediatric Oncologist, a Paediatric Neurosurgeon, Neuroradiologist and a Paediatric Neurologist. The images should be transferred via PACS transfer. The outreach Paediatric Neurologist should also be </w:t>
      </w:r>
      <w:r w:rsidR="00282FAD">
        <w:t xml:space="preserve">informed of </w:t>
      </w:r>
      <w:r>
        <w:t>this referral</w:t>
      </w:r>
      <w:r w:rsidR="007102BA">
        <w:t>.</w:t>
      </w:r>
    </w:p>
    <w:p w14:paraId="2FDDCB59" w14:textId="77777777" w:rsidR="00FC4418" w:rsidRDefault="00FC4418" w:rsidP="00FC4418">
      <w:pPr>
        <w:pStyle w:val="ListParagraph"/>
        <w:spacing w:after="200" w:line="276" w:lineRule="auto"/>
        <w:ind w:left="1080"/>
      </w:pPr>
    </w:p>
    <w:p w14:paraId="330D68FA" w14:textId="6D76F767" w:rsidR="00C73D98" w:rsidRDefault="00C73D98" w:rsidP="00C73D98">
      <w:pPr>
        <w:pStyle w:val="ListParagraph"/>
        <w:numPr>
          <w:ilvl w:val="1"/>
          <w:numId w:val="6"/>
        </w:numPr>
        <w:spacing w:after="200" w:line="276" w:lineRule="auto"/>
      </w:pPr>
      <w:r>
        <w:t xml:space="preserve"> </w:t>
      </w:r>
      <w:proofErr w:type="spellStart"/>
      <w:r>
        <w:t>Neurooncology</w:t>
      </w:r>
      <w:proofErr w:type="spellEnd"/>
      <w:r>
        <w:t xml:space="preserve"> meeting </w:t>
      </w:r>
      <w:r w:rsidR="0011091B">
        <w:t xml:space="preserve">discussion </w:t>
      </w:r>
      <w:r>
        <w:t xml:space="preserve">could </w:t>
      </w:r>
      <w:r w:rsidR="0011091B">
        <w:t>lead to any</w:t>
      </w:r>
      <w:r>
        <w:t xml:space="preserve"> of the following</w:t>
      </w:r>
      <w:r w:rsidR="0011091B">
        <w:t xml:space="preserve"> </w:t>
      </w:r>
      <w:r w:rsidR="0011091B" w:rsidRPr="0011091B">
        <w:t>outcomes</w:t>
      </w:r>
      <w:r w:rsidR="0011091B">
        <w:t>:</w:t>
      </w:r>
    </w:p>
    <w:p w14:paraId="24810089" w14:textId="77777777" w:rsidR="00C73D98" w:rsidRDefault="00C73D98" w:rsidP="00C73D98">
      <w:pPr>
        <w:pStyle w:val="ListParagraph"/>
        <w:ind w:left="1080"/>
      </w:pPr>
      <w:r w:rsidRPr="004F051C">
        <w:rPr>
          <w:b/>
          <w:bCs/>
        </w:rPr>
        <w:t>Outcome 1:</w:t>
      </w:r>
      <w:r>
        <w:t xml:space="preserve"> CYP accepted for treatment of their tumour at Addenbrookes. The treatment could include any or all of the following: neurosurgery, chemotherapy and radiotherapy. These children will also be offered a neuropsychology assessment pre and </w:t>
      </w:r>
      <w:proofErr w:type="spellStart"/>
      <w:r>
        <w:t>post surgery</w:t>
      </w:r>
      <w:proofErr w:type="spellEnd"/>
      <w:r>
        <w:t xml:space="preserve">, and will be able to access other services including clinical psychology and </w:t>
      </w:r>
      <w:proofErr w:type="spellStart"/>
      <w:r>
        <w:t>brainbow</w:t>
      </w:r>
      <w:proofErr w:type="spellEnd"/>
      <w:r>
        <w:t xml:space="preserve"> neurorehabilitation services</w:t>
      </w:r>
    </w:p>
    <w:p w14:paraId="49F68ADB" w14:textId="293F3AB5" w:rsidR="00C73D98" w:rsidRDefault="00C73D98" w:rsidP="00282FAD">
      <w:pPr>
        <w:pStyle w:val="ListParagraph"/>
        <w:ind w:left="1080"/>
      </w:pPr>
      <w:r w:rsidRPr="004F051C">
        <w:rPr>
          <w:b/>
          <w:bCs/>
        </w:rPr>
        <w:t>Outcome 2:</w:t>
      </w:r>
      <w:r>
        <w:t xml:space="preserve"> CYP</w:t>
      </w:r>
      <w:r w:rsidR="00A736D8">
        <w:t xml:space="preserve"> not</w:t>
      </w:r>
      <w:r>
        <w:t xml:space="preserve"> accepted for </w:t>
      </w:r>
      <w:r w:rsidR="00A736D8">
        <w:t>care</w:t>
      </w:r>
      <w:r>
        <w:t xml:space="preserve"> at Addenbrookes.</w:t>
      </w:r>
      <w:r w:rsidR="00A736D8">
        <w:t xml:space="preserve"> Such c</w:t>
      </w:r>
      <w:r>
        <w:t xml:space="preserve">ases where </w:t>
      </w:r>
      <w:r w:rsidR="0011091B">
        <w:t>e</w:t>
      </w:r>
      <w:r>
        <w:t xml:space="preserve">pilepsy </w:t>
      </w:r>
      <w:r w:rsidR="007102BA">
        <w:t xml:space="preserve">is the </w:t>
      </w:r>
      <w:r>
        <w:t>predominant feature</w:t>
      </w:r>
      <w:r w:rsidR="00282FAD">
        <w:t xml:space="preserve">, should be </w:t>
      </w:r>
      <w:r w:rsidR="00A736D8">
        <w:t>re-</w:t>
      </w:r>
      <w:r w:rsidR="00282FAD">
        <w:t>discussed with</w:t>
      </w:r>
      <w:r w:rsidR="002A2263">
        <w:t xml:space="preserve"> outreach Paediatric Neurologist</w:t>
      </w:r>
      <w:r w:rsidR="00282FAD">
        <w:t xml:space="preserve">, who after </w:t>
      </w:r>
      <w:proofErr w:type="spellStart"/>
      <w:r w:rsidR="00282FAD">
        <w:t>liasing</w:t>
      </w:r>
      <w:proofErr w:type="spellEnd"/>
      <w:r w:rsidR="00282FAD">
        <w:t xml:space="preserve"> with </w:t>
      </w:r>
      <w:proofErr w:type="spellStart"/>
      <w:r w:rsidR="00282FAD">
        <w:t>Neurooncology</w:t>
      </w:r>
      <w:proofErr w:type="spellEnd"/>
      <w:r w:rsidR="00282FAD">
        <w:t xml:space="preserve"> MDT team, </w:t>
      </w:r>
      <w:r w:rsidR="002A2263">
        <w:t>would initiate referral to CESS if appropriate.</w:t>
      </w:r>
      <w:r w:rsidR="00FC4418">
        <w:t xml:space="preserve"> The </w:t>
      </w:r>
      <w:proofErr w:type="spellStart"/>
      <w:r w:rsidR="00FC4418">
        <w:t>Neurooncology</w:t>
      </w:r>
      <w:proofErr w:type="spellEnd"/>
      <w:r w:rsidR="00FC4418">
        <w:t xml:space="preserve"> MDT outcome letter and any further scans to be forwarded to CESS centre with referral.</w:t>
      </w:r>
    </w:p>
    <w:p w14:paraId="24139F84" w14:textId="77777777" w:rsidR="00972458" w:rsidRDefault="00972458" w:rsidP="00972458">
      <w:pPr>
        <w:pStyle w:val="ListParagraph"/>
        <w:ind w:left="1080"/>
        <w:rPr>
          <w:b/>
          <w:bCs/>
        </w:rPr>
      </w:pPr>
    </w:p>
    <w:p w14:paraId="7004697F" w14:textId="77777777" w:rsidR="00354459" w:rsidRDefault="00354459" w:rsidP="00C73D98">
      <w:pPr>
        <w:rPr>
          <w:b/>
          <w:bCs/>
        </w:rPr>
      </w:pPr>
    </w:p>
    <w:p w14:paraId="04F18698" w14:textId="77777777" w:rsidR="00282FAD" w:rsidRDefault="00282FAD" w:rsidP="00C73D98">
      <w:pPr>
        <w:rPr>
          <w:b/>
          <w:bCs/>
        </w:rPr>
      </w:pPr>
    </w:p>
    <w:p w14:paraId="65F4C4AC" w14:textId="77777777" w:rsidR="00A736D8" w:rsidRDefault="00A736D8" w:rsidP="00C73D98">
      <w:pPr>
        <w:rPr>
          <w:b/>
          <w:bCs/>
        </w:rPr>
      </w:pPr>
    </w:p>
    <w:p w14:paraId="32A09BDE" w14:textId="77777777" w:rsidR="00A736D8" w:rsidRDefault="00A736D8" w:rsidP="00C73D98">
      <w:pPr>
        <w:rPr>
          <w:b/>
          <w:bCs/>
        </w:rPr>
      </w:pPr>
    </w:p>
    <w:p w14:paraId="1239BD98" w14:textId="7A29DA17" w:rsidR="00C73D98" w:rsidRDefault="00C73D98" w:rsidP="00C73D98">
      <w:pPr>
        <w:rPr>
          <w:b/>
          <w:bCs/>
        </w:rPr>
      </w:pPr>
      <w:r>
        <w:rPr>
          <w:b/>
          <w:bCs/>
        </w:rPr>
        <w:lastRenderedPageBreak/>
        <w:t>Interprofessional Communication:</w:t>
      </w:r>
    </w:p>
    <w:p w14:paraId="62DE4A10" w14:textId="7F8D53C2" w:rsidR="000B41E0" w:rsidRPr="000B41E0" w:rsidRDefault="000B41E0" w:rsidP="000B41E0">
      <w:pPr>
        <w:numPr>
          <w:ilvl w:val="0"/>
          <w:numId w:val="8"/>
        </w:numPr>
        <w:rPr>
          <w:b/>
          <w:bCs/>
        </w:rPr>
      </w:pPr>
      <w:r>
        <w:t>Prompt discussion and accurate communication between different professionals is the key to improving care in these c</w:t>
      </w:r>
      <w:r w:rsidR="003D63FE">
        <w:t>hildren</w:t>
      </w:r>
      <w:r>
        <w:t>.</w:t>
      </w:r>
    </w:p>
    <w:p w14:paraId="4D35B7A8" w14:textId="7CE70227" w:rsidR="000B41E0" w:rsidRPr="006A398F" w:rsidRDefault="000B41E0" w:rsidP="000B41E0">
      <w:pPr>
        <w:numPr>
          <w:ilvl w:val="0"/>
          <w:numId w:val="8"/>
        </w:numPr>
        <w:rPr>
          <w:b/>
          <w:bCs/>
        </w:rPr>
      </w:pPr>
      <w:r>
        <w:t xml:space="preserve">The referring Paediatrician should ensure that the local oncology </w:t>
      </w:r>
      <w:r w:rsidR="003D63FE">
        <w:t xml:space="preserve">POSCU </w:t>
      </w:r>
      <w:r>
        <w:t xml:space="preserve">lead consultant and the </w:t>
      </w:r>
      <w:r w:rsidR="003D63FE">
        <w:t xml:space="preserve">local </w:t>
      </w:r>
      <w:r>
        <w:t xml:space="preserve">outreach </w:t>
      </w:r>
      <w:r w:rsidR="003D63FE">
        <w:t xml:space="preserve">tertiary </w:t>
      </w:r>
      <w:r>
        <w:t xml:space="preserve">Consultant Paediatric Neurologist are copied in all referrals </w:t>
      </w:r>
      <w:r w:rsidR="006A398F">
        <w:t>via th</w:t>
      </w:r>
      <w:r w:rsidR="007102BA">
        <w:t xml:space="preserve">e </w:t>
      </w:r>
      <w:proofErr w:type="spellStart"/>
      <w:r w:rsidR="007102BA">
        <w:t>Neurooncology</w:t>
      </w:r>
      <w:proofErr w:type="spellEnd"/>
      <w:r w:rsidR="007102BA">
        <w:t xml:space="preserve"> MDT referral</w:t>
      </w:r>
      <w:r w:rsidR="006A398F">
        <w:t xml:space="preserve"> pathway.</w:t>
      </w:r>
    </w:p>
    <w:p w14:paraId="2383E074" w14:textId="04C45696" w:rsidR="006A398F" w:rsidRDefault="006A398F" w:rsidP="000B41E0">
      <w:pPr>
        <w:numPr>
          <w:ilvl w:val="0"/>
          <w:numId w:val="8"/>
        </w:numPr>
        <w:rPr>
          <w:b/>
          <w:bCs/>
        </w:rPr>
      </w:pPr>
      <w:r>
        <w:t xml:space="preserve">The </w:t>
      </w:r>
      <w:proofErr w:type="spellStart"/>
      <w:r>
        <w:t>neurooncology</w:t>
      </w:r>
      <w:proofErr w:type="spellEnd"/>
      <w:r>
        <w:t xml:space="preserve"> MDT meeting discussion/plan should be copied to the referring Paediatrician and the tertiary outreach Consultant Paediatric Neurologist.</w:t>
      </w:r>
    </w:p>
    <w:p w14:paraId="4C2B1A7A" w14:textId="77777777" w:rsidR="00C73D98" w:rsidRDefault="00C73D98" w:rsidP="00C73D98">
      <w:pPr>
        <w:rPr>
          <w:b/>
          <w:bCs/>
        </w:rPr>
      </w:pPr>
    </w:p>
    <w:p w14:paraId="1D071D15" w14:textId="77777777" w:rsidR="00C73D98" w:rsidRDefault="00C73D98" w:rsidP="00C73D98">
      <w:r w:rsidRPr="00E25757">
        <w:rPr>
          <w:b/>
          <w:bCs/>
        </w:rPr>
        <w:t>Children’s Epilepsy Surgery Service</w:t>
      </w:r>
      <w:r>
        <w:rPr>
          <w:b/>
          <w:bCs/>
        </w:rPr>
        <w:t xml:space="preserve"> </w:t>
      </w:r>
      <w:r w:rsidRPr="00E25757">
        <w:rPr>
          <w:b/>
          <w:bCs/>
        </w:rPr>
        <w:t>(CESS) centre</w:t>
      </w:r>
      <w:r>
        <w:rPr>
          <w:b/>
          <w:bCs/>
        </w:rPr>
        <w:t>s</w:t>
      </w:r>
      <w:r w:rsidRPr="00E25757">
        <w:rPr>
          <w:b/>
          <w:bCs/>
        </w:rPr>
        <w:t>:</w:t>
      </w:r>
      <w:r>
        <w:t xml:space="preserve"> </w:t>
      </w:r>
    </w:p>
    <w:p w14:paraId="34F37523" w14:textId="77777777" w:rsidR="00C73D98" w:rsidRDefault="00C73D98" w:rsidP="00C73D98">
      <w:pPr>
        <w:ind w:left="360"/>
      </w:pPr>
      <w:r w:rsidRPr="005E654D">
        <w:t>The Children’s Epilepsy Surgery Service (CESS) centre is commissioned to provide specialist epilepsy pre-surgical evaluation and surgery to children in specialised CESS centres, for the population of England.</w:t>
      </w:r>
      <w:r w:rsidRPr="007A76C2">
        <w:t xml:space="preserve"> </w:t>
      </w:r>
      <w:r>
        <w:t xml:space="preserve">There are 4 specialist CESS centres within England, commissioned by NHS England. </w:t>
      </w:r>
    </w:p>
    <w:p w14:paraId="7AE196A1" w14:textId="77777777" w:rsidR="00C73D98" w:rsidRDefault="00C73D98" w:rsidP="00C73D98">
      <w:pPr>
        <w:pStyle w:val="ListParagraph"/>
        <w:numPr>
          <w:ilvl w:val="0"/>
          <w:numId w:val="5"/>
        </w:numPr>
        <w:spacing w:after="200" w:line="276" w:lineRule="auto"/>
      </w:pPr>
      <w:r w:rsidRPr="007A76C2">
        <w:t>Birmingham Children’s Hospital NHS Foundation Trust</w:t>
      </w:r>
    </w:p>
    <w:p w14:paraId="3B5C934D" w14:textId="77777777" w:rsidR="00C73D98" w:rsidRDefault="00C73D98" w:rsidP="00C73D98">
      <w:pPr>
        <w:pStyle w:val="ListParagraph"/>
        <w:numPr>
          <w:ilvl w:val="0"/>
          <w:numId w:val="5"/>
        </w:numPr>
        <w:spacing w:after="200" w:line="276" w:lineRule="auto"/>
      </w:pPr>
      <w:r w:rsidRPr="007A76C2">
        <w:t>Great Ormond Street Hospital for Children NHS Foundation</w:t>
      </w:r>
      <w:r>
        <w:t xml:space="preserve"> </w:t>
      </w:r>
      <w:r w:rsidRPr="007A76C2">
        <w:t>Trust and King’s College Hospital NHS Foundation Trust, London</w:t>
      </w:r>
    </w:p>
    <w:p w14:paraId="698BD1B4" w14:textId="77777777" w:rsidR="00C73D98" w:rsidRDefault="00C73D98" w:rsidP="00C73D98">
      <w:pPr>
        <w:pStyle w:val="ListParagraph"/>
        <w:numPr>
          <w:ilvl w:val="0"/>
          <w:numId w:val="5"/>
        </w:numPr>
        <w:spacing w:after="200" w:line="276" w:lineRule="auto"/>
      </w:pPr>
      <w:r w:rsidRPr="007A76C2">
        <w:t>Department of Paediatric Neurology, Bristol Royal Hospital for Children</w:t>
      </w:r>
    </w:p>
    <w:p w14:paraId="33F8D356" w14:textId="77777777" w:rsidR="00C73D98" w:rsidRPr="007A76C2" w:rsidRDefault="00C73D98" w:rsidP="00C73D98">
      <w:pPr>
        <w:pStyle w:val="ListParagraph"/>
        <w:numPr>
          <w:ilvl w:val="0"/>
          <w:numId w:val="5"/>
        </w:numPr>
        <w:spacing w:after="200" w:line="276" w:lineRule="auto"/>
      </w:pPr>
      <w:r w:rsidRPr="007A76C2">
        <w:t>The Northern Children’s Epilepsy Surgery Services (</w:t>
      </w:r>
      <w:proofErr w:type="spellStart"/>
      <w:r w:rsidRPr="007A76C2">
        <w:t>NorCESS</w:t>
      </w:r>
      <w:proofErr w:type="spellEnd"/>
      <w:r w:rsidRPr="007A76C2">
        <w:t>) Alder Hey Children’s NHS Foundation Trust (Liverpool) and Royal Manchester Children’s Hospital (Central Manchester University Hospitals NHS Foundation Trust)</w:t>
      </w:r>
    </w:p>
    <w:p w14:paraId="3BCF2DE5" w14:textId="25703C36" w:rsidR="004C29B3" w:rsidRPr="004C29B3" w:rsidRDefault="00C73D98" w:rsidP="00C73D98">
      <w:r>
        <w:t>The CESS referral centre for East of England is at Great Ormond Street hospital. CESS referral pathways have been developed for children presenting with epilepsy and brain lesion. (</w:t>
      </w:r>
      <w:proofErr w:type="spellStart"/>
      <w:r>
        <w:t>Lesional</w:t>
      </w:r>
      <w:proofErr w:type="spellEnd"/>
      <w:r>
        <w:t xml:space="preserve"> epilepsy). See </w:t>
      </w:r>
      <w:r w:rsidRPr="00F11D0C">
        <w:rPr>
          <w:b/>
          <w:bCs/>
        </w:rPr>
        <w:t xml:space="preserve">Appendix </w:t>
      </w:r>
      <w:r w:rsidR="004C4579">
        <w:rPr>
          <w:b/>
          <w:bCs/>
        </w:rPr>
        <w:t>4</w:t>
      </w:r>
      <w:r>
        <w:t xml:space="preserve"> for GOSH CESS services referral guidelines</w:t>
      </w:r>
    </w:p>
    <w:p w14:paraId="7A338488" w14:textId="77777777" w:rsidR="004C29B3" w:rsidRDefault="004C29B3" w:rsidP="00C73D98">
      <w:pPr>
        <w:rPr>
          <w:b/>
          <w:bCs/>
        </w:rPr>
      </w:pPr>
    </w:p>
    <w:p w14:paraId="2DDBF876" w14:textId="16208FA6" w:rsidR="00C73D98" w:rsidRPr="00146673" w:rsidRDefault="00C73D98" w:rsidP="00C73D98">
      <w:r w:rsidRPr="00AA46DF">
        <w:rPr>
          <w:b/>
          <w:bCs/>
        </w:rPr>
        <w:t>CESS referral criteria</w:t>
      </w:r>
      <w:r w:rsidR="00146673">
        <w:rPr>
          <w:b/>
          <w:bCs/>
        </w:rPr>
        <w:t xml:space="preserve"> (</w:t>
      </w:r>
      <w:r w:rsidR="00146673">
        <w:t>as per GOSH CESS referral pathway- see appendix 4)</w:t>
      </w:r>
    </w:p>
    <w:p w14:paraId="68C7E4C4" w14:textId="73925FBB" w:rsidR="00C73D98" w:rsidRDefault="00EC09EB" w:rsidP="00C73D98">
      <w:r>
        <w:rPr>
          <w:noProof/>
        </w:rPr>
        <w:drawing>
          <wp:inline distT="0" distB="0" distL="0" distR="0" wp14:anchorId="7FF8427F" wp14:editId="330C2273">
            <wp:extent cx="5800725" cy="3771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725" cy="3771900"/>
                    </a:xfrm>
                    <a:prstGeom prst="rect">
                      <a:avLst/>
                    </a:prstGeom>
                    <a:noFill/>
                    <a:ln>
                      <a:noFill/>
                    </a:ln>
                  </pic:spPr>
                </pic:pic>
              </a:graphicData>
            </a:graphic>
          </wp:inline>
        </w:drawing>
      </w:r>
    </w:p>
    <w:p w14:paraId="19BA2798" w14:textId="77777777" w:rsidR="00354459" w:rsidRDefault="00354459" w:rsidP="00C73D98">
      <w:pPr>
        <w:rPr>
          <w:b/>
          <w:bCs/>
        </w:rPr>
      </w:pPr>
    </w:p>
    <w:p w14:paraId="7998671D" w14:textId="77777777" w:rsidR="00354459" w:rsidRDefault="00354459" w:rsidP="00C73D98">
      <w:pPr>
        <w:rPr>
          <w:b/>
          <w:bCs/>
        </w:rPr>
      </w:pPr>
    </w:p>
    <w:p w14:paraId="56CFF723" w14:textId="77777777" w:rsidR="00354459" w:rsidRDefault="00354459" w:rsidP="00C73D98">
      <w:pPr>
        <w:rPr>
          <w:b/>
          <w:bCs/>
        </w:rPr>
      </w:pPr>
    </w:p>
    <w:p w14:paraId="35CA4682" w14:textId="2CDD7A62" w:rsidR="00C73D98" w:rsidRDefault="00C73D98" w:rsidP="00C73D98">
      <w:pPr>
        <w:rPr>
          <w:lang w:val="en-US"/>
        </w:rPr>
      </w:pPr>
      <w:r w:rsidRPr="00233BD9">
        <w:rPr>
          <w:b/>
          <w:bCs/>
        </w:rPr>
        <w:t>CESS referral pathway</w:t>
      </w:r>
      <w:r>
        <w:rPr>
          <w:b/>
          <w:bCs/>
        </w:rPr>
        <w:t xml:space="preserve"> </w:t>
      </w:r>
      <w:r w:rsidRPr="00146673">
        <w:t xml:space="preserve">( </w:t>
      </w:r>
      <w:r w:rsidR="00146673">
        <w:t xml:space="preserve">Ref: </w:t>
      </w:r>
      <w:r w:rsidR="00146673" w:rsidRPr="00146673">
        <w:t xml:space="preserve">as per </w:t>
      </w:r>
      <w:r w:rsidRPr="00146673">
        <w:rPr>
          <w:lang w:val="en-US"/>
        </w:rPr>
        <w:t>NHS England: Service specifications, Children’s Epilepsy Surgery service)</w:t>
      </w:r>
    </w:p>
    <w:p w14:paraId="47ACC81C" w14:textId="77777777" w:rsidR="00786F57" w:rsidRPr="008E3968" w:rsidRDefault="00786F57" w:rsidP="00C73D98"/>
    <w:p w14:paraId="2BFFC1DE" w14:textId="2084D78B" w:rsidR="00C73D98" w:rsidRDefault="00EC09EB" w:rsidP="00C73D98">
      <w:r>
        <w:rPr>
          <w:noProof/>
        </w:rPr>
        <w:drawing>
          <wp:inline distT="0" distB="0" distL="0" distR="0" wp14:anchorId="3504F375" wp14:editId="5EC0AB9F">
            <wp:extent cx="5734050" cy="4076700"/>
            <wp:effectExtent l="0" t="0" r="0"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14:paraId="2EF0A3F9" w14:textId="3D46334D" w:rsidR="00C73D98" w:rsidRPr="008E3968" w:rsidRDefault="00C73D98" w:rsidP="008E3968">
      <w:pPr>
        <w:spacing w:after="200"/>
        <w:rPr>
          <w:sz w:val="22"/>
          <w:szCs w:val="22"/>
        </w:rPr>
      </w:pPr>
      <w:r w:rsidRPr="003E5B25">
        <w:rPr>
          <w:b/>
          <w:bCs/>
        </w:rPr>
        <w:t>Cases that should have Epilepsy surgery in a CESS centre</w:t>
      </w:r>
      <w:r>
        <w:rPr>
          <w:b/>
          <w:bCs/>
        </w:rPr>
        <w:t xml:space="preserve"> </w:t>
      </w:r>
      <w:r w:rsidRPr="00146673">
        <w:t>(Ref:</w:t>
      </w:r>
      <w:r w:rsidRPr="00146673">
        <w:rPr>
          <w:rFonts w:eastAsia="Times New Roman"/>
          <w:color w:val="000000"/>
          <w:kern w:val="24"/>
          <w:sz w:val="36"/>
          <w:szCs w:val="36"/>
          <w:lang w:val="en-US" w:eastAsia="en-GB"/>
        </w:rPr>
        <w:t xml:space="preserve"> </w:t>
      </w:r>
      <w:r w:rsidRPr="00146673">
        <w:rPr>
          <w:sz w:val="22"/>
          <w:szCs w:val="22"/>
          <w:lang w:val="en-US"/>
        </w:rPr>
        <w:t>NHS England: Service specifications, Children</w:t>
      </w:r>
      <w:r w:rsidRPr="00146673">
        <w:rPr>
          <w:lang w:val="en-US"/>
        </w:rPr>
        <w:t>’</w:t>
      </w:r>
      <w:r w:rsidRPr="00146673">
        <w:rPr>
          <w:sz w:val="22"/>
          <w:szCs w:val="22"/>
          <w:lang w:val="en-US"/>
        </w:rPr>
        <w:t>s Epilepsy Surgery service</w:t>
      </w:r>
      <w:r w:rsidR="008E3968">
        <w:rPr>
          <w:lang w:val="en-US"/>
        </w:rPr>
        <w:t>)</w:t>
      </w:r>
    </w:p>
    <w:p w14:paraId="60CF4FB0" w14:textId="77777777" w:rsidR="00C73D98" w:rsidRDefault="00C73D98" w:rsidP="00C73D98">
      <w:pPr>
        <w:pStyle w:val="ListParagraph"/>
        <w:numPr>
          <w:ilvl w:val="0"/>
          <w:numId w:val="7"/>
        </w:numPr>
        <w:spacing w:after="200" w:line="276" w:lineRule="auto"/>
      </w:pPr>
      <w:r>
        <w:t>Hemispheric procedures</w:t>
      </w:r>
    </w:p>
    <w:p w14:paraId="0C30F0AD" w14:textId="77777777" w:rsidR="00C73D98" w:rsidRDefault="00C73D98" w:rsidP="00C73D98">
      <w:pPr>
        <w:pStyle w:val="ListParagraph"/>
        <w:numPr>
          <w:ilvl w:val="0"/>
          <w:numId w:val="7"/>
        </w:numPr>
        <w:spacing w:after="200" w:line="276" w:lineRule="auto"/>
      </w:pPr>
      <w:r>
        <w:t>Invasive EEG monitoring</w:t>
      </w:r>
    </w:p>
    <w:p w14:paraId="4C8DD93D" w14:textId="77777777" w:rsidR="00C73D98" w:rsidRDefault="00C73D98" w:rsidP="00C73D98">
      <w:pPr>
        <w:pStyle w:val="ListParagraph"/>
        <w:numPr>
          <w:ilvl w:val="0"/>
          <w:numId w:val="7"/>
        </w:numPr>
        <w:spacing w:after="200" w:line="276" w:lineRule="auto"/>
      </w:pPr>
      <w:r>
        <w:t>Surgery for Rasmussen’s</w:t>
      </w:r>
    </w:p>
    <w:p w14:paraId="78D3E26E" w14:textId="77777777" w:rsidR="00C73D98" w:rsidRDefault="00C73D98" w:rsidP="00C73D98">
      <w:pPr>
        <w:pStyle w:val="ListParagraph"/>
        <w:numPr>
          <w:ilvl w:val="0"/>
          <w:numId w:val="7"/>
        </w:numPr>
        <w:spacing w:after="200" w:line="276" w:lineRule="auto"/>
      </w:pPr>
      <w:r>
        <w:t>Tuberous Sclerosis</w:t>
      </w:r>
    </w:p>
    <w:p w14:paraId="73A29E07" w14:textId="77777777" w:rsidR="00C73D98" w:rsidRDefault="00C73D98" w:rsidP="00C73D98">
      <w:pPr>
        <w:pStyle w:val="ListParagraph"/>
        <w:numPr>
          <w:ilvl w:val="0"/>
          <w:numId w:val="7"/>
        </w:numPr>
        <w:spacing w:after="200" w:line="276" w:lineRule="auto"/>
      </w:pPr>
      <w:r>
        <w:t>Hypothalamic Hamartoma</w:t>
      </w:r>
    </w:p>
    <w:p w14:paraId="40956D5A" w14:textId="77777777" w:rsidR="00C73D98" w:rsidRDefault="00C73D98" w:rsidP="00C73D98">
      <w:pPr>
        <w:pStyle w:val="ListParagraph"/>
        <w:numPr>
          <w:ilvl w:val="0"/>
          <w:numId w:val="7"/>
        </w:numPr>
        <w:spacing w:after="200" w:line="276" w:lineRule="auto"/>
      </w:pPr>
      <w:r>
        <w:t>Sturge Weber Syndrome</w:t>
      </w:r>
    </w:p>
    <w:p w14:paraId="3F90E472" w14:textId="77777777" w:rsidR="00C73D98" w:rsidRDefault="00C73D98" w:rsidP="00C73D98">
      <w:pPr>
        <w:pStyle w:val="ListParagraph"/>
        <w:numPr>
          <w:ilvl w:val="0"/>
          <w:numId w:val="7"/>
        </w:numPr>
        <w:spacing w:after="200" w:line="276" w:lineRule="auto"/>
      </w:pPr>
      <w:r>
        <w:t>Peri-Central lesions</w:t>
      </w:r>
    </w:p>
    <w:p w14:paraId="3498BF95" w14:textId="77777777" w:rsidR="00C73D98" w:rsidRDefault="00C73D98" w:rsidP="00C73D98">
      <w:pPr>
        <w:pStyle w:val="ListParagraph"/>
        <w:numPr>
          <w:ilvl w:val="0"/>
          <w:numId w:val="7"/>
        </w:numPr>
        <w:spacing w:after="200" w:line="276" w:lineRule="auto"/>
      </w:pPr>
      <w:r>
        <w:t>Peri-insular lesions</w:t>
      </w:r>
    </w:p>
    <w:p w14:paraId="62FA8C9F" w14:textId="77777777" w:rsidR="00C73D98" w:rsidRDefault="00C73D98" w:rsidP="00C73D98">
      <w:pPr>
        <w:pStyle w:val="ListParagraph"/>
        <w:numPr>
          <w:ilvl w:val="0"/>
          <w:numId w:val="7"/>
        </w:numPr>
        <w:spacing w:after="200" w:line="276" w:lineRule="auto"/>
      </w:pPr>
      <w:r>
        <w:t>All temporal lobe resections</w:t>
      </w:r>
    </w:p>
    <w:p w14:paraId="40F19344" w14:textId="77777777" w:rsidR="00C73D98" w:rsidRDefault="00C73D98" w:rsidP="00C73D98">
      <w:pPr>
        <w:pStyle w:val="ListParagraph"/>
        <w:numPr>
          <w:ilvl w:val="0"/>
          <w:numId w:val="7"/>
        </w:numPr>
        <w:spacing w:after="200" w:line="276" w:lineRule="auto"/>
      </w:pPr>
      <w:proofErr w:type="spellStart"/>
      <w:r>
        <w:t>Multilobular</w:t>
      </w:r>
      <w:proofErr w:type="spellEnd"/>
      <w:r>
        <w:t xml:space="preserve"> resections or disconnections</w:t>
      </w:r>
    </w:p>
    <w:p w14:paraId="0EAB79F0" w14:textId="77777777" w:rsidR="00C73D98" w:rsidRDefault="00C73D98" w:rsidP="00C73D98">
      <w:pPr>
        <w:pStyle w:val="ListParagraph"/>
        <w:numPr>
          <w:ilvl w:val="0"/>
          <w:numId w:val="7"/>
        </w:numPr>
        <w:spacing w:after="200" w:line="276" w:lineRule="auto"/>
      </w:pPr>
      <w:r>
        <w:t>Lobar resections</w:t>
      </w:r>
    </w:p>
    <w:p w14:paraId="6371A4AE" w14:textId="5E36ACE7" w:rsidR="00C73D98" w:rsidRDefault="00C73D98" w:rsidP="00C73D98">
      <w:pPr>
        <w:pStyle w:val="ListParagraph"/>
        <w:numPr>
          <w:ilvl w:val="0"/>
          <w:numId w:val="7"/>
        </w:numPr>
        <w:spacing w:after="200" w:line="276" w:lineRule="auto"/>
      </w:pPr>
      <w:r>
        <w:t>Cortical resections for malformations of cortical development (</w:t>
      </w:r>
      <w:r w:rsidR="00354459">
        <w:t>e.g.,</w:t>
      </w:r>
      <w:r>
        <w:t xml:space="preserve"> focal cortical dysplasia, polymicrogyria)</w:t>
      </w:r>
    </w:p>
    <w:p w14:paraId="2FF67DDC" w14:textId="77777777" w:rsidR="004C29B3" w:rsidRDefault="00C73D98" w:rsidP="004C29B3">
      <w:pPr>
        <w:pStyle w:val="ListParagraph"/>
        <w:numPr>
          <w:ilvl w:val="0"/>
          <w:numId w:val="7"/>
        </w:numPr>
        <w:spacing w:after="200" w:line="276" w:lineRule="auto"/>
      </w:pPr>
      <w:r>
        <w:t>Callosotomy</w:t>
      </w:r>
    </w:p>
    <w:p w14:paraId="686DE25F" w14:textId="7BE94406" w:rsidR="008E3968" w:rsidRPr="003E5B25" w:rsidRDefault="00C73D98" w:rsidP="008E3968">
      <w:pPr>
        <w:ind w:left="360"/>
      </w:pPr>
      <w:r>
        <w:t>The only cases that may be considered for surgery outside a CESS centre are</w:t>
      </w:r>
      <w:r w:rsidR="008E3968">
        <w:t xml:space="preserve"> </w:t>
      </w:r>
      <w:proofErr w:type="spellStart"/>
      <w:r w:rsidR="008E3968">
        <w:t>Lesionectomies</w:t>
      </w:r>
      <w:proofErr w:type="spellEnd"/>
      <w:r w:rsidR="008E3968">
        <w:t xml:space="preserve"> for glioneuronal tumours, Cavernomas or AVMs where the lesion is in </w:t>
      </w:r>
      <w:r w:rsidR="00354459">
        <w:t>non-eloquent</w:t>
      </w:r>
      <w:r w:rsidR="008E3968">
        <w:t xml:space="preserve"> cortex</w:t>
      </w:r>
    </w:p>
    <w:p w14:paraId="6121D5CC" w14:textId="77777777" w:rsidR="00C73D98" w:rsidRDefault="00C73D98" w:rsidP="00C73D98">
      <w:pPr>
        <w:rPr>
          <w:b/>
          <w:bCs/>
        </w:rPr>
      </w:pPr>
    </w:p>
    <w:p w14:paraId="6B2B0229" w14:textId="77777777" w:rsidR="00786F57" w:rsidRDefault="00786F57" w:rsidP="00C73D98">
      <w:pPr>
        <w:rPr>
          <w:b/>
          <w:bCs/>
        </w:rPr>
      </w:pPr>
    </w:p>
    <w:p w14:paraId="7DAD6C35" w14:textId="35F3F5D7" w:rsidR="00C73D98" w:rsidRPr="001C2BF7" w:rsidRDefault="00C73D98" w:rsidP="00C73D98">
      <w:pPr>
        <w:rPr>
          <w:b/>
          <w:bCs/>
        </w:rPr>
      </w:pPr>
      <w:r w:rsidRPr="001C2BF7">
        <w:rPr>
          <w:b/>
          <w:bCs/>
        </w:rPr>
        <w:t>Brain tumours:</w:t>
      </w:r>
      <w:r w:rsidR="006A398F">
        <w:rPr>
          <w:b/>
          <w:bCs/>
        </w:rPr>
        <w:t xml:space="preserve"> epidemiology and classification:</w:t>
      </w:r>
    </w:p>
    <w:p w14:paraId="011D2046" w14:textId="13020A34" w:rsidR="00C73D98" w:rsidRDefault="00C73D98" w:rsidP="00C73D98">
      <w:r w:rsidRPr="002737AA">
        <w:t>One in every 550-600 children in the United Kingdom (UK) will be affected by cancer by their fifteenth birthday. 1,500 children are diagnosed annually with cancer in the UK and a third of these will have a central nervous system (CNS) tumour, 95-98% of which will be brain tumours</w:t>
      </w:r>
      <w:r w:rsidR="00781A36">
        <w:t>.</w:t>
      </w:r>
      <w:r w:rsidRPr="002737AA">
        <w:t xml:space="preserve"> CNS tumours are the second most frequent malignancy in children (after leukaemia) and are now the commonest cancer cause of death, with an annual mortality of nine per million (80 to 100 children annually in the UK)</w:t>
      </w:r>
      <w:r w:rsidR="00781A36">
        <w:t>.</w:t>
      </w:r>
      <w:r w:rsidRPr="002737AA">
        <w:t xml:space="preserve"> </w:t>
      </w:r>
    </w:p>
    <w:p w14:paraId="16BA0CFF" w14:textId="77777777" w:rsidR="006A398F" w:rsidRPr="002737AA" w:rsidRDefault="006A398F" w:rsidP="00C73D98"/>
    <w:p w14:paraId="556BCA03" w14:textId="6B124A86" w:rsidR="00C73D98" w:rsidRDefault="00C73D98" w:rsidP="00C73D98">
      <w:r>
        <w:t>Most up</w:t>
      </w:r>
      <w:r w:rsidR="00781A36">
        <w:t xml:space="preserve"> </w:t>
      </w:r>
      <w:r>
        <w:t>to</w:t>
      </w:r>
      <w:r w:rsidR="00781A36">
        <w:t xml:space="preserve"> </w:t>
      </w:r>
      <w:r>
        <w:t>date classification of Paediatric CNS tumours has been published recently</w:t>
      </w:r>
      <w:r w:rsidR="00D51527">
        <w:t xml:space="preserve">- WHO 2021 classification of Central Nervous System tumours. (Ref). In this latest classification, in addition to retaining the </w:t>
      </w:r>
      <w:r w:rsidR="003D63FE" w:rsidRPr="003D63FE">
        <w:t>other established approaches to tumo</w:t>
      </w:r>
      <w:r w:rsidR="00D51527">
        <w:t>u</w:t>
      </w:r>
      <w:r w:rsidR="003D63FE" w:rsidRPr="003D63FE">
        <w:t>r diagnosis such as histology and immunohistochemistry</w:t>
      </w:r>
      <w:r w:rsidR="00D51527">
        <w:t xml:space="preserve"> in account, it also, i</w:t>
      </w:r>
      <w:r w:rsidR="003D63FE" w:rsidRPr="003D63FE">
        <w:t>ntroduces major changes that advance the role of molecular diagnostics in CNS tumo</w:t>
      </w:r>
      <w:r w:rsidR="00D51527">
        <w:t>u</w:t>
      </w:r>
      <w:r w:rsidR="003D63FE" w:rsidRPr="003D63FE">
        <w:t>r classification. New tumo</w:t>
      </w:r>
      <w:r w:rsidR="003D63FE">
        <w:t>u</w:t>
      </w:r>
      <w:r w:rsidR="003D63FE" w:rsidRPr="003D63FE">
        <w:t>r types and subtypes are introduced, some based on novel diagnostic technologies such as DNA methylome pro- filing</w:t>
      </w:r>
      <w:r>
        <w:t xml:space="preserve">. </w:t>
      </w:r>
    </w:p>
    <w:p w14:paraId="1E553345" w14:textId="77777777" w:rsidR="006A398F" w:rsidRDefault="006A398F" w:rsidP="00C73D98"/>
    <w:p w14:paraId="4480D88E" w14:textId="24DED2B8" w:rsidR="00C73D98" w:rsidRDefault="00C73D98" w:rsidP="00C73D98">
      <w:r>
        <w:t>Tumours of neuroepithelial tissue derive from glial cells-astrocytes, oligodendrocytes and ependymal cells- and are termed gliomas. Gliomas account for approximately half of all primary brain tumours and approximately two thirds of primary malignant brain tumours in CYP. The main tumour of embryonal origin is medulloblastoma.</w:t>
      </w:r>
    </w:p>
    <w:p w14:paraId="1346AFB8" w14:textId="19CFD547" w:rsidR="00E545A9" w:rsidRDefault="00E545A9" w:rsidP="00C73D98"/>
    <w:p w14:paraId="79229F6A" w14:textId="4226F6BD" w:rsidR="00C73D98" w:rsidRPr="0030720D" w:rsidRDefault="00A736D8" w:rsidP="00C73D98">
      <w:r>
        <w:rPr>
          <w:noProof/>
        </w:rPr>
        <w:drawing>
          <wp:inline distT="0" distB="0" distL="0" distR="0" wp14:anchorId="6BD491D7" wp14:editId="43CEEB34">
            <wp:extent cx="6677025" cy="493395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0">
                      <a:extLst>
                        <a:ext uri="{28A0092B-C50C-407E-A947-70E740481C1C}">
                          <a14:useLocalDpi xmlns:a14="http://schemas.microsoft.com/office/drawing/2010/main" val="0"/>
                        </a:ext>
                      </a:extLst>
                    </a:blip>
                    <a:srcRect l="3421" t="-119" r="-4495" b="922"/>
                    <a:stretch>
                      <a:fillRect/>
                    </a:stretch>
                  </pic:blipFill>
                  <pic:spPr bwMode="auto">
                    <a:xfrm>
                      <a:off x="0" y="0"/>
                      <a:ext cx="6677025" cy="4933950"/>
                    </a:xfrm>
                    <a:prstGeom prst="rect">
                      <a:avLst/>
                    </a:prstGeom>
                    <a:noFill/>
                    <a:ln>
                      <a:noFill/>
                    </a:ln>
                  </pic:spPr>
                </pic:pic>
              </a:graphicData>
            </a:graphic>
          </wp:inline>
        </w:drawing>
      </w:r>
    </w:p>
    <w:p w14:paraId="08951E43" w14:textId="7C035F82" w:rsidR="00A736D8" w:rsidRDefault="00A736D8" w:rsidP="008E3968">
      <w:r w:rsidRPr="00A736D8">
        <w:rPr>
          <w:sz w:val="20"/>
          <w:szCs w:val="20"/>
        </w:rPr>
        <w:t xml:space="preserve">( Figure 1– </w:t>
      </w:r>
      <w:r w:rsidRPr="00A736D8">
        <w:rPr>
          <w:i/>
          <w:iCs/>
          <w:sz w:val="20"/>
          <w:szCs w:val="20"/>
        </w:rPr>
        <w:t>Taken from HEADSMART: THE BRAIN PATHWAYS GUIDELINE:</w:t>
      </w:r>
      <w:r w:rsidRPr="00A736D8">
        <w:rPr>
          <w:i/>
          <w:iCs/>
          <w:sz w:val="20"/>
          <w:szCs w:val="20"/>
        </w:rPr>
        <w:br/>
        <w:t>A GUIDELINE TO ASSIST HEALTHCARE PROFESSIONALS IN THE ASSESSMENT OF CHILDREN WHO MAY HAVE A BRAIN TUMOUR; 2017</w:t>
      </w:r>
      <w:r>
        <w:rPr>
          <w:i/>
          <w:iCs/>
          <w:sz w:val="20"/>
          <w:szCs w:val="20"/>
        </w:rPr>
        <w:t>)</w:t>
      </w:r>
    </w:p>
    <w:p w14:paraId="29B60403" w14:textId="2873EE52" w:rsidR="00A736D8" w:rsidRPr="00A736D8" w:rsidRDefault="00A736D8" w:rsidP="00A736D8"/>
    <w:p w14:paraId="5077D238" w14:textId="77777777" w:rsidR="00A736D8" w:rsidRDefault="00A736D8" w:rsidP="00A736D8"/>
    <w:p w14:paraId="209F0832" w14:textId="29C39D57" w:rsidR="00A736D8" w:rsidRDefault="00A736D8" w:rsidP="00A736D8">
      <w:r>
        <w:t xml:space="preserve">As the clinical presentation of brain tumour varies by location, a frequently used topographical classification distinguishes between supratentorial and infratentorial tumours. The presentation of these are as described in Figure 1. </w:t>
      </w:r>
    </w:p>
    <w:p w14:paraId="100A2DB9" w14:textId="77777777" w:rsidR="00A736D8" w:rsidRDefault="00A736D8" w:rsidP="00A736D8"/>
    <w:p w14:paraId="7188D797" w14:textId="77777777" w:rsidR="00A736D8" w:rsidRDefault="00A736D8" w:rsidP="00A736D8">
      <w:r>
        <w:t>Approximately 50-60% of primary Paediatric brain tumours are supratentorial in location, most of which are of astrocytic origin. Approximately 35-45% of primary paediatric brain tumours are infratentorial in location, most of which are glial or neuronal in origin.</w:t>
      </w:r>
    </w:p>
    <w:p w14:paraId="4A6BEE2C" w14:textId="77777777" w:rsidR="00511BA8" w:rsidRDefault="00511BA8" w:rsidP="00C73D98"/>
    <w:p w14:paraId="3334518B" w14:textId="77777777" w:rsidR="00354459" w:rsidRDefault="00354459" w:rsidP="00C73D98">
      <w:pPr>
        <w:rPr>
          <w:b/>
          <w:bCs/>
        </w:rPr>
      </w:pPr>
    </w:p>
    <w:p w14:paraId="376C968A" w14:textId="77777777" w:rsidR="00354459" w:rsidRDefault="00354459" w:rsidP="00C73D98">
      <w:pPr>
        <w:rPr>
          <w:b/>
          <w:bCs/>
        </w:rPr>
      </w:pPr>
    </w:p>
    <w:p w14:paraId="065096D4" w14:textId="77777777" w:rsidR="00354459" w:rsidRDefault="00354459" w:rsidP="00C73D98">
      <w:pPr>
        <w:rPr>
          <w:b/>
          <w:bCs/>
        </w:rPr>
      </w:pPr>
    </w:p>
    <w:p w14:paraId="3D46071A" w14:textId="5BD7F14A" w:rsidR="00624659" w:rsidRDefault="00C73D98" w:rsidP="00C73D98">
      <w:r w:rsidRPr="00553503">
        <w:rPr>
          <w:b/>
          <w:bCs/>
        </w:rPr>
        <w:t>Seizures and Brain tumours:</w:t>
      </w:r>
      <w:r>
        <w:t xml:space="preserve"> </w:t>
      </w:r>
    </w:p>
    <w:p w14:paraId="25CEE84E" w14:textId="7A4213DD" w:rsidR="00C73D98" w:rsidRPr="00564939" w:rsidRDefault="00C73D98" w:rsidP="00C73D98">
      <w:r w:rsidRPr="00564939">
        <w:t>Seizures are one of the most frequent presenting symptom</w:t>
      </w:r>
      <w:r w:rsidR="002A2263">
        <w:t>s</w:t>
      </w:r>
      <w:r w:rsidRPr="00564939">
        <w:t xml:space="preserve"> of p</w:t>
      </w:r>
      <w:r>
        <w:t>a</w:t>
      </w:r>
      <w:r w:rsidRPr="00564939">
        <w:t>ediatric brain tumo</w:t>
      </w:r>
      <w:r>
        <w:t>u</w:t>
      </w:r>
      <w:r w:rsidRPr="00564939">
        <w:t>rs occurring in 13% of patients. Seizures are more frequent with certain tumo</w:t>
      </w:r>
      <w:r>
        <w:t>u</w:t>
      </w:r>
      <w:r w:rsidRPr="00564939">
        <w:t>r types, termed long-term epilepsy associated tumo</w:t>
      </w:r>
      <w:r w:rsidR="00E545A9">
        <w:t>u</w:t>
      </w:r>
      <w:r w:rsidRPr="00564939">
        <w:t xml:space="preserve">rs (LEATs) : </w:t>
      </w:r>
      <w:proofErr w:type="spellStart"/>
      <w:r w:rsidRPr="00564939">
        <w:t>dysembryoplastic</w:t>
      </w:r>
      <w:proofErr w:type="spellEnd"/>
      <w:r w:rsidRPr="00564939">
        <w:t xml:space="preserve"> neuroepithelial tumo</w:t>
      </w:r>
      <w:r w:rsidR="00E545A9">
        <w:t>u</w:t>
      </w:r>
      <w:r w:rsidRPr="00564939">
        <w:t>rs, gangliogliomas, and oligodendrogliomas. Typically, LEATs are low-grade supratentorial tumo</w:t>
      </w:r>
      <w:r w:rsidR="00E545A9">
        <w:t>u</w:t>
      </w:r>
      <w:r w:rsidRPr="00564939">
        <w:t xml:space="preserve">rs associated with relatively low mortality. </w:t>
      </w:r>
    </w:p>
    <w:p w14:paraId="72AB6D20" w14:textId="6D97D34E" w:rsidR="00E545A9" w:rsidRDefault="00C73D98" w:rsidP="00C73D98">
      <w:r w:rsidRPr="002D267A">
        <w:t>The probability of a tumo</w:t>
      </w:r>
      <w:r w:rsidR="00E545A9">
        <w:t>u</w:t>
      </w:r>
      <w:r w:rsidRPr="002D267A">
        <w:t>r presenting with seizures depends on several factors</w:t>
      </w:r>
      <w:r w:rsidR="005A20F5">
        <w:t xml:space="preserve"> </w:t>
      </w:r>
      <w:r w:rsidR="002A2263">
        <w:t>e.g.,</w:t>
      </w:r>
      <w:r w:rsidR="005A20F5">
        <w:t xml:space="preserve"> the tumour</w:t>
      </w:r>
      <w:r w:rsidRPr="002D267A">
        <w:t xml:space="preserve"> histology and location in the brain. Low-grade tumo</w:t>
      </w:r>
      <w:r w:rsidR="00E545A9">
        <w:t>u</w:t>
      </w:r>
      <w:r w:rsidRPr="002D267A">
        <w:t xml:space="preserve">rs are more epileptogenic, probably reflecting longer survival and, therefore, a longer time period to develop epilepsy </w:t>
      </w:r>
    </w:p>
    <w:p w14:paraId="0DB2C73D" w14:textId="430A0695" w:rsidR="00C73D98" w:rsidRPr="002D267A" w:rsidRDefault="00C73D98" w:rsidP="00C73D98">
      <w:r w:rsidRPr="002D267A">
        <w:t xml:space="preserve"> </w:t>
      </w:r>
    </w:p>
    <w:p w14:paraId="47623DB5" w14:textId="7D9115E0" w:rsidR="00E545A9" w:rsidRDefault="00C73D98" w:rsidP="00C73D98">
      <w:r w:rsidRPr="002D267A">
        <w:t>In a p</w:t>
      </w:r>
      <w:r w:rsidR="00E545A9">
        <w:t>a</w:t>
      </w:r>
      <w:r w:rsidRPr="002D267A">
        <w:t>ediatric series of 298 children with brain tumo</w:t>
      </w:r>
      <w:r w:rsidR="00E545A9">
        <w:t>u</w:t>
      </w:r>
      <w:r w:rsidRPr="002D267A">
        <w:t>rs, seizures occurred in 81% of glioneuronal tumo</w:t>
      </w:r>
      <w:r w:rsidR="002A2263">
        <w:t>u</w:t>
      </w:r>
      <w:r w:rsidRPr="002D267A">
        <w:t>rs, in 71% of high-grade gliomas, and in 80% of oligodendroglioma while they were rare in medulloblastoma (8%), germ cell tumo</w:t>
      </w:r>
      <w:r w:rsidR="002A2263">
        <w:t>u</w:t>
      </w:r>
      <w:r w:rsidRPr="002D267A">
        <w:t>r (11%), atypical teratoid rhabdoid tumo</w:t>
      </w:r>
      <w:r w:rsidR="002A2263">
        <w:t>u</w:t>
      </w:r>
      <w:r w:rsidRPr="002D267A">
        <w:t xml:space="preserve">r (0%), and pineocytoma or </w:t>
      </w:r>
      <w:proofErr w:type="spellStart"/>
      <w:r w:rsidRPr="002D267A">
        <w:t>pineoblastoma</w:t>
      </w:r>
      <w:proofErr w:type="spellEnd"/>
      <w:r w:rsidRPr="002D267A">
        <w:t xml:space="preserve"> (0%). </w:t>
      </w:r>
    </w:p>
    <w:p w14:paraId="7DDE11FB" w14:textId="77777777" w:rsidR="00E545A9" w:rsidRDefault="00E545A9" w:rsidP="00C73D98"/>
    <w:p w14:paraId="1E922CE7" w14:textId="255A42BF" w:rsidR="00C73D98" w:rsidRPr="002D267A" w:rsidRDefault="00C73D98" w:rsidP="00C73D98">
      <w:r w:rsidRPr="002D267A">
        <w:t>In the same</w:t>
      </w:r>
      <w:r w:rsidR="00E545A9">
        <w:t xml:space="preserve"> </w:t>
      </w:r>
      <w:r w:rsidRPr="002D267A">
        <w:t>series, seizures were more frequent among tumo</w:t>
      </w:r>
      <w:r w:rsidR="00E545A9">
        <w:t>u</w:t>
      </w:r>
      <w:r w:rsidRPr="002D267A">
        <w:t>rs involving the cerebral cortex (53%) than in those with midline (18%) and infratentorial (9%) location. Although infratentorial tumo</w:t>
      </w:r>
      <w:r w:rsidR="00D51527">
        <w:t>u</w:t>
      </w:r>
      <w:r w:rsidRPr="002D267A">
        <w:t>rs are less frequently associated with seizures as compared to supratentorial tumo</w:t>
      </w:r>
      <w:r w:rsidR="00D51527">
        <w:t>u</w:t>
      </w:r>
      <w:r w:rsidRPr="002D267A">
        <w:t>rs, seizures tend to occur through mass effect, hydrocephalus, or metastases, and their relative frequency makes them a relevant contributor to seizures in children with brain tumo</w:t>
      </w:r>
      <w:r w:rsidR="00E545A9">
        <w:t>u</w:t>
      </w:r>
      <w:r w:rsidRPr="002D267A">
        <w:t>r</w:t>
      </w:r>
      <w:r w:rsidR="00E545A9">
        <w:t>s</w:t>
      </w:r>
      <w:r w:rsidRPr="002D267A">
        <w:t xml:space="preserve"> </w:t>
      </w:r>
    </w:p>
    <w:p w14:paraId="68D1672B" w14:textId="77777777" w:rsidR="00C73D98" w:rsidRDefault="00C73D98" w:rsidP="00C73D98"/>
    <w:p w14:paraId="446FC0E0" w14:textId="77777777" w:rsidR="00C73D98" w:rsidRDefault="00C73D98" w:rsidP="00C73D98"/>
    <w:p w14:paraId="6679A398" w14:textId="6D14B8A5" w:rsidR="0035194D" w:rsidRDefault="0035194D"/>
    <w:p w14:paraId="283F376F" w14:textId="77777777" w:rsidR="008E3968" w:rsidRDefault="008E3968">
      <w:pPr>
        <w:rPr>
          <w:b/>
          <w:bCs/>
        </w:rPr>
      </w:pPr>
    </w:p>
    <w:p w14:paraId="21E1A9C7" w14:textId="77777777" w:rsidR="008E3968" w:rsidRDefault="008E3968">
      <w:pPr>
        <w:rPr>
          <w:b/>
          <w:bCs/>
        </w:rPr>
      </w:pPr>
    </w:p>
    <w:p w14:paraId="18F92371" w14:textId="77777777" w:rsidR="008E3968" w:rsidRDefault="008E3968">
      <w:pPr>
        <w:rPr>
          <w:b/>
          <w:bCs/>
        </w:rPr>
      </w:pPr>
    </w:p>
    <w:p w14:paraId="041F0DCD" w14:textId="77777777" w:rsidR="008E3968" w:rsidRDefault="008E3968">
      <w:pPr>
        <w:rPr>
          <w:b/>
          <w:bCs/>
        </w:rPr>
      </w:pPr>
    </w:p>
    <w:p w14:paraId="4A62B276" w14:textId="77777777" w:rsidR="008E3968" w:rsidRDefault="008E3968">
      <w:pPr>
        <w:rPr>
          <w:b/>
          <w:bCs/>
        </w:rPr>
      </w:pPr>
    </w:p>
    <w:p w14:paraId="13313A94" w14:textId="77777777" w:rsidR="008E3968" w:rsidRDefault="008E3968">
      <w:pPr>
        <w:rPr>
          <w:b/>
          <w:bCs/>
        </w:rPr>
      </w:pPr>
    </w:p>
    <w:p w14:paraId="57AB34A3" w14:textId="77777777" w:rsidR="008E3968" w:rsidRDefault="008E3968">
      <w:pPr>
        <w:rPr>
          <w:b/>
          <w:bCs/>
        </w:rPr>
      </w:pPr>
    </w:p>
    <w:p w14:paraId="08C534D0" w14:textId="77777777" w:rsidR="008E3968" w:rsidRDefault="008E3968">
      <w:pPr>
        <w:rPr>
          <w:b/>
          <w:bCs/>
        </w:rPr>
      </w:pPr>
    </w:p>
    <w:p w14:paraId="40F0C3B9" w14:textId="77777777" w:rsidR="008E3968" w:rsidRDefault="008E3968">
      <w:pPr>
        <w:rPr>
          <w:b/>
          <w:bCs/>
        </w:rPr>
      </w:pPr>
    </w:p>
    <w:p w14:paraId="373F6FCF" w14:textId="77777777" w:rsidR="008E3968" w:rsidRDefault="008E3968">
      <w:pPr>
        <w:rPr>
          <w:b/>
          <w:bCs/>
        </w:rPr>
      </w:pPr>
    </w:p>
    <w:p w14:paraId="0463751A" w14:textId="77777777" w:rsidR="008E3968" w:rsidRDefault="008E3968">
      <w:pPr>
        <w:rPr>
          <w:b/>
          <w:bCs/>
        </w:rPr>
      </w:pPr>
    </w:p>
    <w:p w14:paraId="10480F88" w14:textId="77777777" w:rsidR="008E3968" w:rsidRDefault="008E3968">
      <w:pPr>
        <w:rPr>
          <w:b/>
          <w:bCs/>
        </w:rPr>
      </w:pPr>
    </w:p>
    <w:p w14:paraId="0D1F2BC6" w14:textId="77777777" w:rsidR="008E3968" w:rsidRDefault="008E3968">
      <w:pPr>
        <w:rPr>
          <w:b/>
          <w:bCs/>
        </w:rPr>
      </w:pPr>
    </w:p>
    <w:p w14:paraId="2BDACA89" w14:textId="77777777" w:rsidR="008E3968" w:rsidRDefault="008E3968">
      <w:pPr>
        <w:rPr>
          <w:b/>
          <w:bCs/>
        </w:rPr>
      </w:pPr>
    </w:p>
    <w:p w14:paraId="167E0A62" w14:textId="77777777" w:rsidR="008E3968" w:rsidRDefault="008E3968">
      <w:pPr>
        <w:rPr>
          <w:b/>
          <w:bCs/>
        </w:rPr>
      </w:pPr>
    </w:p>
    <w:p w14:paraId="302C6C07" w14:textId="77777777" w:rsidR="008E3968" w:rsidRDefault="008E3968">
      <w:pPr>
        <w:rPr>
          <w:b/>
          <w:bCs/>
        </w:rPr>
      </w:pPr>
    </w:p>
    <w:p w14:paraId="0AF1BACC" w14:textId="132D29A3" w:rsidR="002B27C8" w:rsidRPr="002B27C8" w:rsidRDefault="002B27C8">
      <w:pPr>
        <w:rPr>
          <w:b/>
          <w:bCs/>
        </w:rPr>
      </w:pPr>
      <w:r w:rsidRPr="002B27C8">
        <w:rPr>
          <w:b/>
          <w:bCs/>
        </w:rPr>
        <w:t>Appendix 1: Primary Treatment Centres (PTC) in the UK</w:t>
      </w:r>
    </w:p>
    <w:p w14:paraId="6A0EB50C" w14:textId="51FAA495" w:rsidR="002B27C8" w:rsidRDefault="00EC09EB">
      <w:r>
        <w:rPr>
          <w:noProof/>
        </w:rPr>
        <w:drawing>
          <wp:inline distT="0" distB="0" distL="0" distR="0" wp14:anchorId="3B5020EC" wp14:editId="609BBEFC">
            <wp:extent cx="5162550" cy="57721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5772150"/>
                    </a:xfrm>
                    <a:prstGeom prst="rect">
                      <a:avLst/>
                    </a:prstGeom>
                    <a:noFill/>
                    <a:ln>
                      <a:noFill/>
                    </a:ln>
                  </pic:spPr>
                </pic:pic>
              </a:graphicData>
            </a:graphic>
          </wp:inline>
        </w:drawing>
      </w:r>
    </w:p>
    <w:p w14:paraId="6BED47B8" w14:textId="3990A60B" w:rsidR="002B27C8" w:rsidRDefault="002B27C8">
      <w:pPr>
        <w:rPr>
          <w:b/>
          <w:bCs/>
        </w:rPr>
      </w:pPr>
      <w:r w:rsidRPr="002B27C8">
        <w:rPr>
          <w:b/>
          <w:bCs/>
        </w:rPr>
        <w:t>Appendix 2:</w:t>
      </w:r>
      <w:r w:rsidR="00C4063E">
        <w:rPr>
          <w:b/>
          <w:bCs/>
        </w:rPr>
        <w:t xml:space="preserve"> East</w:t>
      </w:r>
      <w:r w:rsidR="004C4579">
        <w:rPr>
          <w:b/>
          <w:bCs/>
        </w:rPr>
        <w:t xml:space="preserve"> of England</w:t>
      </w:r>
      <w:r w:rsidR="00C4063E">
        <w:rPr>
          <w:b/>
          <w:bCs/>
        </w:rPr>
        <w:t xml:space="preserve"> POSCU:</w:t>
      </w:r>
    </w:p>
    <w:p w14:paraId="2F29E484" w14:textId="193C2695" w:rsidR="00C4063E" w:rsidRPr="00C4063E" w:rsidRDefault="00C4063E" w:rsidP="00C4063E">
      <w:r w:rsidRPr="00C4063E">
        <w:rPr>
          <w:i/>
          <w:iCs/>
        </w:rPr>
        <w:t xml:space="preserve"> A map of the approximate area covered by the East of England Children’s Cancer Service </w:t>
      </w:r>
    </w:p>
    <w:p w14:paraId="75306814" w14:textId="32F46459" w:rsidR="00C4063E" w:rsidRPr="00C4063E" w:rsidRDefault="00EC09EB" w:rsidP="00C4063E">
      <w:pPr>
        <w:rPr>
          <w:b/>
          <w:bCs/>
        </w:rPr>
      </w:pPr>
      <w:r>
        <w:rPr>
          <w:b/>
          <w:noProof/>
        </w:rPr>
        <w:drawing>
          <wp:inline distT="0" distB="0" distL="0" distR="0" wp14:anchorId="4CE8F358" wp14:editId="7723C974">
            <wp:extent cx="2838450" cy="2171700"/>
            <wp:effectExtent l="0" t="0" r="0" b="0"/>
            <wp:docPr id="6" name="Picture 6" descr="page90image227837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90image22783712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171700"/>
                    </a:xfrm>
                    <a:prstGeom prst="rect">
                      <a:avLst/>
                    </a:prstGeom>
                    <a:noFill/>
                    <a:ln>
                      <a:noFill/>
                    </a:ln>
                  </pic:spPr>
                </pic:pic>
              </a:graphicData>
            </a:graphic>
          </wp:inline>
        </w:drawing>
      </w:r>
      <w:r w:rsidR="00C4063E" w:rsidRPr="00C4063E">
        <w:rPr>
          <w:noProof/>
        </w:rPr>
        <w:t xml:space="preserve"> </w:t>
      </w:r>
      <w:r>
        <w:rPr>
          <w:b/>
          <w:noProof/>
        </w:rPr>
        <w:drawing>
          <wp:inline distT="0" distB="0" distL="0" distR="0" wp14:anchorId="7B3B7868" wp14:editId="7DB48697">
            <wp:extent cx="1181100" cy="216217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2162175"/>
                    </a:xfrm>
                    <a:prstGeom prst="rect">
                      <a:avLst/>
                    </a:prstGeom>
                    <a:noFill/>
                    <a:ln>
                      <a:noFill/>
                    </a:ln>
                  </pic:spPr>
                </pic:pic>
              </a:graphicData>
            </a:graphic>
          </wp:inline>
        </w:drawing>
      </w:r>
    </w:p>
    <w:p w14:paraId="0AA72F6F" w14:textId="77777777" w:rsidR="00C4063E" w:rsidRDefault="00C4063E">
      <w:pPr>
        <w:rPr>
          <w:b/>
          <w:bCs/>
        </w:rPr>
      </w:pPr>
    </w:p>
    <w:p w14:paraId="05127E75" w14:textId="55FB98E2" w:rsidR="00337CF0" w:rsidRDefault="00C4063E">
      <w:pPr>
        <w:rPr>
          <w:b/>
          <w:bCs/>
        </w:rPr>
      </w:pPr>
      <w:r>
        <w:rPr>
          <w:rFonts w:ascii="Arial" w:hAnsi="Arial" w:cs="Arial"/>
          <w:i/>
          <w:iCs/>
          <w:color w:val="000000"/>
          <w:sz w:val="20"/>
          <w:szCs w:val="20"/>
          <w:lang w:eastAsia="en-GB"/>
        </w:rPr>
        <w:lastRenderedPageBreak/>
        <w:t xml:space="preserve"> </w:t>
      </w:r>
      <w:r>
        <w:rPr>
          <w:rFonts w:ascii="Arial" w:hAnsi="Arial" w:cs="Arial"/>
          <w:color w:val="000000"/>
          <w:sz w:val="16"/>
          <w:szCs w:val="16"/>
          <w:lang w:eastAsia="en-GB"/>
        </w:rPr>
        <w:t xml:space="preserve"> </w:t>
      </w:r>
      <w:r w:rsidR="004C4579">
        <w:rPr>
          <w:b/>
          <w:bCs/>
        </w:rPr>
        <w:t xml:space="preserve">Appendix 3: </w:t>
      </w:r>
      <w:r w:rsidR="00624659">
        <w:rPr>
          <w:b/>
          <w:bCs/>
        </w:rPr>
        <w:t xml:space="preserve">Time-Critical Neurosurgical transfer guideline </w:t>
      </w:r>
    </w:p>
    <w:p w14:paraId="3024FF14" w14:textId="264983CE" w:rsidR="00337CF0" w:rsidRDefault="00964BDA">
      <w:pPr>
        <w:rPr>
          <w:rFonts w:ascii="Arial" w:hAnsi="Arial" w:cs="Arial"/>
          <w:color w:val="000000"/>
          <w:sz w:val="16"/>
          <w:szCs w:val="16"/>
          <w:lang w:eastAsia="en-GB"/>
        </w:rPr>
      </w:pPr>
      <w:hyperlink r:id="rId14" w:history="1">
        <w:r w:rsidR="00337CF0" w:rsidRPr="00325827">
          <w:rPr>
            <w:rStyle w:val="Hyperlink"/>
            <w:rFonts w:ascii="Arial" w:hAnsi="Arial" w:cs="Arial"/>
            <w:sz w:val="16"/>
            <w:szCs w:val="16"/>
            <w:lang w:eastAsia="en-GB"/>
          </w:rPr>
          <w:t>https://onedrive.live.com/view.aspx?resid=56C1AAA107E5FEF9!4060&amp;ithint=file%2cdocx&amp;authkey=!AA2HgAKTUKAj76Q</w:t>
        </w:r>
      </w:hyperlink>
    </w:p>
    <w:p w14:paraId="79E3E14A" w14:textId="77777777" w:rsidR="00337CF0" w:rsidRPr="00337CF0" w:rsidRDefault="00337CF0">
      <w:pPr>
        <w:rPr>
          <w:rFonts w:ascii="Arial" w:hAnsi="Arial" w:cs="Arial"/>
          <w:color w:val="000000"/>
          <w:sz w:val="16"/>
          <w:szCs w:val="16"/>
          <w:lang w:eastAsia="en-GB"/>
        </w:rPr>
      </w:pPr>
    </w:p>
    <w:p w14:paraId="36EB7818" w14:textId="77777777" w:rsidR="001913F7" w:rsidRDefault="001913F7">
      <w:pPr>
        <w:rPr>
          <w:b/>
          <w:bCs/>
        </w:rPr>
      </w:pPr>
    </w:p>
    <w:p w14:paraId="6F68F37F" w14:textId="77777777" w:rsidR="00EA1187" w:rsidRDefault="00EA1187">
      <w:pPr>
        <w:rPr>
          <w:b/>
          <w:bCs/>
        </w:rPr>
      </w:pPr>
    </w:p>
    <w:p w14:paraId="2A4488A6" w14:textId="09171FCC" w:rsidR="00624659" w:rsidRDefault="00D77399">
      <w:pPr>
        <w:rPr>
          <w:b/>
          <w:bCs/>
        </w:rPr>
      </w:pPr>
      <w:r>
        <w:rPr>
          <w:b/>
          <w:bCs/>
        </w:rPr>
        <w:t>Appendix 4:</w:t>
      </w:r>
      <w:r w:rsidR="00C11832">
        <w:rPr>
          <w:b/>
          <w:bCs/>
        </w:rPr>
        <w:t xml:space="preserve"> </w:t>
      </w:r>
      <w:hyperlink r:id="rId15" w:history="1">
        <w:r w:rsidR="00624659" w:rsidRPr="00BC0B01">
          <w:rPr>
            <w:rStyle w:val="Hyperlink"/>
            <w:b/>
            <w:bCs/>
          </w:rPr>
          <w:t>https://media.gosh.nhs.uk/documents/CESS_Referral_Guidelines_Final_01_08_13.pdf</w:t>
        </w:r>
      </w:hyperlink>
    </w:p>
    <w:p w14:paraId="74511CDD" w14:textId="77777777" w:rsidR="00624659" w:rsidRDefault="00624659">
      <w:pPr>
        <w:rPr>
          <w:b/>
          <w:bCs/>
        </w:rPr>
      </w:pPr>
    </w:p>
    <w:p w14:paraId="5492E6EF" w14:textId="77777777" w:rsidR="00146673" w:rsidRPr="002B27C8" w:rsidRDefault="00146673">
      <w:pPr>
        <w:rPr>
          <w:b/>
          <w:bCs/>
        </w:rPr>
      </w:pPr>
    </w:p>
    <w:p w14:paraId="499C512A" w14:textId="045D417D" w:rsidR="002B27C8" w:rsidRDefault="002B27C8">
      <w:pPr>
        <w:rPr>
          <w:b/>
          <w:bCs/>
        </w:rPr>
      </w:pPr>
      <w:r w:rsidRPr="005A20F5">
        <w:rPr>
          <w:b/>
          <w:bCs/>
        </w:rPr>
        <w:t xml:space="preserve">References: </w:t>
      </w:r>
    </w:p>
    <w:p w14:paraId="50EDFDC8" w14:textId="6B576A52" w:rsidR="001A7F0B" w:rsidRDefault="001A7F0B" w:rsidP="001A7F0B">
      <w:pPr>
        <w:numPr>
          <w:ilvl w:val="0"/>
          <w:numId w:val="11"/>
        </w:numPr>
        <w:spacing w:line="360" w:lineRule="atLeast"/>
        <w:rPr>
          <w:rFonts w:eastAsia="Times New Roman" w:cs="Calibri"/>
          <w:color w:val="000000"/>
          <w:sz w:val="27"/>
          <w:szCs w:val="27"/>
          <w:lang w:eastAsia="en-GB"/>
        </w:rPr>
      </w:pPr>
      <w:proofErr w:type="spellStart"/>
      <w:r w:rsidRPr="001A7F0B">
        <w:rPr>
          <w:rFonts w:eastAsia="Times New Roman" w:cs="Calibri"/>
          <w:color w:val="000000"/>
          <w:sz w:val="27"/>
          <w:szCs w:val="27"/>
          <w:lang w:eastAsia="en-GB"/>
        </w:rPr>
        <w:t>Wilne</w:t>
      </w:r>
      <w:proofErr w:type="spellEnd"/>
      <w:r w:rsidRPr="001A7F0B">
        <w:rPr>
          <w:rFonts w:eastAsia="Times New Roman" w:cs="Calibri"/>
          <w:color w:val="000000"/>
          <w:sz w:val="27"/>
          <w:szCs w:val="27"/>
          <w:lang w:eastAsia="en-GB"/>
        </w:rPr>
        <w:t>, S., Koller, K., Collier, J., Kennedy, C., Grundy, R. and Walker, D. (2010). The diagnosis of brain tumours in children: a guideline to assist healthcare professionals in the assessment of children who may have a brain tumour. </w:t>
      </w:r>
      <w:r w:rsidRPr="001A7F0B">
        <w:rPr>
          <w:rFonts w:eastAsia="Times New Roman" w:cs="Calibri"/>
          <w:i/>
          <w:iCs/>
          <w:color w:val="000000"/>
          <w:sz w:val="27"/>
          <w:szCs w:val="27"/>
          <w:lang w:eastAsia="en-GB"/>
        </w:rPr>
        <w:t>Archives of Disease in Childhood</w:t>
      </w:r>
      <w:r w:rsidRPr="001A7F0B">
        <w:rPr>
          <w:rFonts w:eastAsia="Times New Roman" w:cs="Calibri"/>
          <w:color w:val="000000"/>
          <w:sz w:val="27"/>
          <w:szCs w:val="27"/>
          <w:lang w:eastAsia="en-GB"/>
        </w:rPr>
        <w:t>, 95(7), pp.534–539.</w:t>
      </w:r>
    </w:p>
    <w:p w14:paraId="490A2C8D" w14:textId="68E2A10C" w:rsidR="004C29B3" w:rsidRPr="001A7F0B" w:rsidRDefault="00964BDA" w:rsidP="004C29B3">
      <w:pPr>
        <w:numPr>
          <w:ilvl w:val="0"/>
          <w:numId w:val="11"/>
        </w:numPr>
        <w:spacing w:line="360" w:lineRule="atLeast"/>
        <w:rPr>
          <w:rFonts w:eastAsia="Times New Roman" w:cs="Calibri"/>
          <w:color w:val="000000"/>
          <w:sz w:val="27"/>
          <w:szCs w:val="27"/>
          <w:lang w:eastAsia="en-GB"/>
        </w:rPr>
      </w:pPr>
      <w:hyperlink r:id="rId16" w:history="1">
        <w:r w:rsidR="004C29B3">
          <w:rPr>
            <w:rStyle w:val="Hyperlink"/>
            <w:rFonts w:eastAsia="Times New Roman" w:cs="Calibri"/>
            <w:sz w:val="27"/>
            <w:szCs w:val="27"/>
            <w:lang w:eastAsia="en-GB"/>
          </w:rPr>
          <w:t>Paediatric-Oncology-and-Haematology_-Supportive-Care-Guidelines-AngCN-SSG-P9.pdf</w:t>
        </w:r>
      </w:hyperlink>
    </w:p>
    <w:p w14:paraId="03B2D1A1" w14:textId="1EF95194" w:rsidR="004C29B3" w:rsidRDefault="004C29B3" w:rsidP="004C29B3">
      <w:pPr>
        <w:numPr>
          <w:ilvl w:val="0"/>
          <w:numId w:val="11"/>
        </w:numPr>
        <w:spacing w:line="360" w:lineRule="atLeast"/>
        <w:rPr>
          <w:rFonts w:eastAsia="Times New Roman" w:cs="Calibri"/>
          <w:color w:val="000000"/>
          <w:sz w:val="27"/>
          <w:szCs w:val="27"/>
          <w:lang w:eastAsia="en-GB"/>
        </w:rPr>
      </w:pPr>
      <w:r w:rsidRPr="004C29B3">
        <w:rPr>
          <w:rFonts w:eastAsia="Times New Roman" w:cs="Calibri"/>
          <w:color w:val="000000"/>
          <w:sz w:val="27"/>
          <w:szCs w:val="27"/>
          <w:lang w:eastAsia="en-GB"/>
        </w:rPr>
        <w:t xml:space="preserve">Sánchez Fernández, I. and </w:t>
      </w:r>
      <w:proofErr w:type="spellStart"/>
      <w:r w:rsidRPr="004C29B3">
        <w:rPr>
          <w:rFonts w:eastAsia="Times New Roman" w:cs="Calibri"/>
          <w:color w:val="000000"/>
          <w:sz w:val="27"/>
          <w:szCs w:val="27"/>
          <w:lang w:eastAsia="en-GB"/>
        </w:rPr>
        <w:t>Loddenkemper</w:t>
      </w:r>
      <w:proofErr w:type="spellEnd"/>
      <w:r w:rsidRPr="004C29B3">
        <w:rPr>
          <w:rFonts w:eastAsia="Times New Roman" w:cs="Calibri"/>
          <w:color w:val="000000"/>
          <w:sz w:val="27"/>
          <w:szCs w:val="27"/>
          <w:lang w:eastAsia="en-GB"/>
        </w:rPr>
        <w:t xml:space="preserve">, T. (2017). Seizures caused by brain </w:t>
      </w:r>
      <w:proofErr w:type="spellStart"/>
      <w:r w:rsidRPr="004C29B3">
        <w:rPr>
          <w:rFonts w:eastAsia="Times New Roman" w:cs="Calibri"/>
          <w:color w:val="000000"/>
          <w:sz w:val="27"/>
          <w:szCs w:val="27"/>
          <w:lang w:eastAsia="en-GB"/>
        </w:rPr>
        <w:t>tumors</w:t>
      </w:r>
      <w:proofErr w:type="spellEnd"/>
      <w:r w:rsidRPr="004C29B3">
        <w:rPr>
          <w:rFonts w:eastAsia="Times New Roman" w:cs="Calibri"/>
          <w:color w:val="000000"/>
          <w:sz w:val="27"/>
          <w:szCs w:val="27"/>
          <w:lang w:eastAsia="en-GB"/>
        </w:rPr>
        <w:t xml:space="preserve"> in children. </w:t>
      </w:r>
      <w:r w:rsidRPr="004C29B3">
        <w:rPr>
          <w:rFonts w:eastAsia="Times New Roman" w:cs="Calibri"/>
          <w:i/>
          <w:iCs/>
          <w:color w:val="000000"/>
          <w:sz w:val="27"/>
          <w:szCs w:val="27"/>
          <w:lang w:eastAsia="en-GB"/>
        </w:rPr>
        <w:t>Seizure</w:t>
      </w:r>
      <w:r w:rsidRPr="004C29B3">
        <w:rPr>
          <w:rFonts w:eastAsia="Times New Roman" w:cs="Calibri"/>
          <w:color w:val="000000"/>
          <w:sz w:val="27"/>
          <w:szCs w:val="27"/>
          <w:lang w:eastAsia="en-GB"/>
        </w:rPr>
        <w:t>, 44, pp.98–107.</w:t>
      </w:r>
    </w:p>
    <w:p w14:paraId="7E20BE7D" w14:textId="283CC1EF" w:rsidR="004C29B3" w:rsidRDefault="00964BDA" w:rsidP="004C29B3">
      <w:pPr>
        <w:numPr>
          <w:ilvl w:val="0"/>
          <w:numId w:val="11"/>
        </w:numPr>
        <w:spacing w:line="360" w:lineRule="atLeast"/>
        <w:rPr>
          <w:rFonts w:eastAsia="Times New Roman" w:cs="Calibri"/>
          <w:color w:val="000000"/>
          <w:sz w:val="27"/>
          <w:szCs w:val="27"/>
          <w:lang w:eastAsia="en-GB"/>
        </w:rPr>
      </w:pPr>
      <w:hyperlink r:id="rId17" w:history="1">
        <w:r w:rsidR="004C29B3" w:rsidRPr="00BC0B01">
          <w:rPr>
            <w:rStyle w:val="Hyperlink"/>
            <w:rFonts w:eastAsia="Times New Roman" w:cs="Calibri"/>
            <w:sz w:val="27"/>
            <w:szCs w:val="27"/>
            <w:lang w:eastAsia="en-GB"/>
          </w:rPr>
          <w:t>https://www.google.com/url?sa=t&amp;rct=j&amp;q=&amp;esrc=s&amp;source=web&amp;cd=&amp;cad=rja&amp;uact=8&amp;ved=2ahUKEwjR_bS4i9L1AhVeQEEAHQEMAEUQFnoECAwQAQ&amp;url=https%3A%2F%2Fwww.england.nhs.uk%2Fpublication%2Fchildrens-epilepsy-surgery-service-cess%2F&amp;usg=AOvVaw1tqd9UaQ0jd1Re8gFeNAqe</w:t>
        </w:r>
      </w:hyperlink>
    </w:p>
    <w:p w14:paraId="23D0C729" w14:textId="77777777" w:rsidR="004C29B3" w:rsidRPr="004C29B3" w:rsidRDefault="004C29B3" w:rsidP="004C29B3">
      <w:pPr>
        <w:numPr>
          <w:ilvl w:val="0"/>
          <w:numId w:val="11"/>
        </w:numPr>
        <w:spacing w:line="360" w:lineRule="atLeast"/>
        <w:rPr>
          <w:rFonts w:eastAsia="Times New Roman" w:cs="Calibri"/>
          <w:color w:val="000000"/>
          <w:sz w:val="27"/>
          <w:szCs w:val="27"/>
          <w:lang w:eastAsia="en-GB"/>
        </w:rPr>
      </w:pPr>
      <w:r w:rsidRPr="004C29B3">
        <w:rPr>
          <w:rFonts w:eastAsia="Times New Roman" w:cs="Calibri"/>
          <w:color w:val="000000"/>
          <w:sz w:val="27"/>
          <w:szCs w:val="27"/>
          <w:lang w:eastAsia="en-GB"/>
        </w:rPr>
        <w:t xml:space="preserve">Louis, D.N., Perry, A., </w:t>
      </w:r>
      <w:proofErr w:type="spellStart"/>
      <w:r w:rsidRPr="004C29B3">
        <w:rPr>
          <w:rFonts w:eastAsia="Times New Roman" w:cs="Calibri"/>
          <w:color w:val="000000"/>
          <w:sz w:val="27"/>
          <w:szCs w:val="27"/>
          <w:lang w:eastAsia="en-GB"/>
        </w:rPr>
        <w:t>Wesseling</w:t>
      </w:r>
      <w:proofErr w:type="spellEnd"/>
      <w:r w:rsidRPr="004C29B3">
        <w:rPr>
          <w:rFonts w:eastAsia="Times New Roman" w:cs="Calibri"/>
          <w:color w:val="000000"/>
          <w:sz w:val="27"/>
          <w:szCs w:val="27"/>
          <w:lang w:eastAsia="en-GB"/>
        </w:rPr>
        <w:t xml:space="preserve">, P., Brat, D.J., Cree, I.A., </w:t>
      </w:r>
      <w:proofErr w:type="spellStart"/>
      <w:r w:rsidRPr="004C29B3">
        <w:rPr>
          <w:rFonts w:eastAsia="Times New Roman" w:cs="Calibri"/>
          <w:color w:val="000000"/>
          <w:sz w:val="27"/>
          <w:szCs w:val="27"/>
          <w:lang w:eastAsia="en-GB"/>
        </w:rPr>
        <w:t>Figarella-Branger</w:t>
      </w:r>
      <w:proofErr w:type="spellEnd"/>
      <w:r w:rsidRPr="004C29B3">
        <w:rPr>
          <w:rFonts w:eastAsia="Times New Roman" w:cs="Calibri"/>
          <w:color w:val="000000"/>
          <w:sz w:val="27"/>
          <w:szCs w:val="27"/>
          <w:lang w:eastAsia="en-GB"/>
        </w:rPr>
        <w:t xml:space="preserve">, D., Hawkins, C., Ng, H.K., Pfister, S.M., </w:t>
      </w:r>
      <w:proofErr w:type="spellStart"/>
      <w:r w:rsidRPr="004C29B3">
        <w:rPr>
          <w:rFonts w:eastAsia="Times New Roman" w:cs="Calibri"/>
          <w:color w:val="000000"/>
          <w:sz w:val="27"/>
          <w:szCs w:val="27"/>
          <w:lang w:eastAsia="en-GB"/>
        </w:rPr>
        <w:t>Reifenberger</w:t>
      </w:r>
      <w:proofErr w:type="spellEnd"/>
      <w:r w:rsidRPr="004C29B3">
        <w:rPr>
          <w:rFonts w:eastAsia="Times New Roman" w:cs="Calibri"/>
          <w:color w:val="000000"/>
          <w:sz w:val="27"/>
          <w:szCs w:val="27"/>
          <w:lang w:eastAsia="en-GB"/>
        </w:rPr>
        <w:t xml:space="preserve">, G., </w:t>
      </w:r>
      <w:proofErr w:type="spellStart"/>
      <w:r w:rsidRPr="004C29B3">
        <w:rPr>
          <w:rFonts w:eastAsia="Times New Roman" w:cs="Calibri"/>
          <w:color w:val="000000"/>
          <w:sz w:val="27"/>
          <w:szCs w:val="27"/>
          <w:lang w:eastAsia="en-GB"/>
        </w:rPr>
        <w:t>Soffietti</w:t>
      </w:r>
      <w:proofErr w:type="spellEnd"/>
      <w:r w:rsidRPr="004C29B3">
        <w:rPr>
          <w:rFonts w:eastAsia="Times New Roman" w:cs="Calibri"/>
          <w:color w:val="000000"/>
          <w:sz w:val="27"/>
          <w:szCs w:val="27"/>
          <w:lang w:eastAsia="en-GB"/>
        </w:rPr>
        <w:t xml:space="preserve">, R., von </w:t>
      </w:r>
      <w:proofErr w:type="spellStart"/>
      <w:r w:rsidRPr="004C29B3">
        <w:rPr>
          <w:rFonts w:eastAsia="Times New Roman" w:cs="Calibri"/>
          <w:color w:val="000000"/>
          <w:sz w:val="27"/>
          <w:szCs w:val="27"/>
          <w:lang w:eastAsia="en-GB"/>
        </w:rPr>
        <w:t>Deimling</w:t>
      </w:r>
      <w:proofErr w:type="spellEnd"/>
      <w:r w:rsidRPr="004C29B3">
        <w:rPr>
          <w:rFonts w:eastAsia="Times New Roman" w:cs="Calibri"/>
          <w:color w:val="000000"/>
          <w:sz w:val="27"/>
          <w:szCs w:val="27"/>
          <w:lang w:eastAsia="en-GB"/>
        </w:rPr>
        <w:t xml:space="preserve">, A. and Ellison, D.W. (2021). The 2021 WHO Classification of </w:t>
      </w:r>
      <w:proofErr w:type="spellStart"/>
      <w:r w:rsidRPr="004C29B3">
        <w:rPr>
          <w:rFonts w:eastAsia="Times New Roman" w:cs="Calibri"/>
          <w:color w:val="000000"/>
          <w:sz w:val="27"/>
          <w:szCs w:val="27"/>
          <w:lang w:eastAsia="en-GB"/>
        </w:rPr>
        <w:t>Tumors</w:t>
      </w:r>
      <w:proofErr w:type="spellEnd"/>
      <w:r w:rsidRPr="004C29B3">
        <w:rPr>
          <w:rFonts w:eastAsia="Times New Roman" w:cs="Calibri"/>
          <w:color w:val="000000"/>
          <w:sz w:val="27"/>
          <w:szCs w:val="27"/>
          <w:lang w:eastAsia="en-GB"/>
        </w:rPr>
        <w:t xml:space="preserve"> of the Central Nervous System: a summary. </w:t>
      </w:r>
      <w:r w:rsidRPr="004C29B3">
        <w:rPr>
          <w:rFonts w:eastAsia="Times New Roman" w:cs="Calibri"/>
          <w:i/>
          <w:iCs/>
          <w:color w:val="000000"/>
          <w:sz w:val="27"/>
          <w:szCs w:val="27"/>
          <w:lang w:eastAsia="en-GB"/>
        </w:rPr>
        <w:t>Neuro-Oncology</w:t>
      </w:r>
      <w:r w:rsidRPr="004C29B3">
        <w:rPr>
          <w:rFonts w:eastAsia="Times New Roman" w:cs="Calibri"/>
          <w:color w:val="000000"/>
          <w:sz w:val="27"/>
          <w:szCs w:val="27"/>
          <w:lang w:eastAsia="en-GB"/>
        </w:rPr>
        <w:t>, 23(8).</w:t>
      </w:r>
    </w:p>
    <w:p w14:paraId="1E7462E2" w14:textId="05F6048B" w:rsidR="001A7F0B" w:rsidRPr="004C29B3" w:rsidRDefault="001A7F0B" w:rsidP="004C29B3">
      <w:pPr>
        <w:spacing w:before="100" w:beforeAutospacing="1" w:after="100" w:afterAutospacing="1"/>
        <w:ind w:left="720"/>
        <w:rPr>
          <w:rFonts w:eastAsia="Times New Roman" w:cs="Calibri"/>
          <w:color w:val="000000"/>
          <w:sz w:val="27"/>
          <w:szCs w:val="27"/>
          <w:lang w:eastAsia="en-GB"/>
        </w:rPr>
      </w:pPr>
    </w:p>
    <w:p w14:paraId="012737F1" w14:textId="77777777" w:rsidR="001A7F0B" w:rsidRPr="001A7F0B" w:rsidRDefault="001A7F0B" w:rsidP="001A7F0B">
      <w:pPr>
        <w:spacing w:before="100" w:beforeAutospacing="1" w:after="100" w:afterAutospacing="1"/>
        <w:ind w:left="720"/>
        <w:rPr>
          <w:rFonts w:eastAsia="Times New Roman" w:cs="Calibri"/>
          <w:color w:val="000000"/>
          <w:sz w:val="27"/>
          <w:szCs w:val="27"/>
          <w:lang w:eastAsia="en-GB"/>
        </w:rPr>
      </w:pPr>
    </w:p>
    <w:p w14:paraId="08A6181A" w14:textId="7E240B17" w:rsidR="001A7F0B" w:rsidRDefault="001A7F0B" w:rsidP="008E3968"/>
    <w:p w14:paraId="26946F86" w14:textId="77777777" w:rsidR="00786F57" w:rsidRDefault="00786F57" w:rsidP="008E3968">
      <w:pPr>
        <w:rPr>
          <w:b/>
          <w:bCs/>
        </w:rPr>
      </w:pPr>
    </w:p>
    <w:p w14:paraId="0A316545" w14:textId="77777777" w:rsidR="00786F57" w:rsidRDefault="00786F57" w:rsidP="008E3968">
      <w:pPr>
        <w:rPr>
          <w:b/>
          <w:bCs/>
        </w:rPr>
      </w:pPr>
    </w:p>
    <w:p w14:paraId="308C5E39" w14:textId="77777777" w:rsidR="00786F57" w:rsidRDefault="00786F57" w:rsidP="008E3968">
      <w:pPr>
        <w:rPr>
          <w:b/>
          <w:bCs/>
        </w:rPr>
      </w:pPr>
    </w:p>
    <w:p w14:paraId="7D868F1E" w14:textId="77777777" w:rsidR="00786F57" w:rsidRDefault="00786F57" w:rsidP="008E3968">
      <w:pPr>
        <w:rPr>
          <w:b/>
          <w:bCs/>
        </w:rPr>
      </w:pPr>
    </w:p>
    <w:p w14:paraId="20D55D51" w14:textId="77777777" w:rsidR="00786F57" w:rsidRDefault="00786F57" w:rsidP="008E3968">
      <w:pPr>
        <w:rPr>
          <w:b/>
          <w:bCs/>
        </w:rPr>
      </w:pPr>
    </w:p>
    <w:p w14:paraId="52DA9615" w14:textId="77777777" w:rsidR="00786F57" w:rsidRDefault="00786F57" w:rsidP="008E3968">
      <w:pPr>
        <w:rPr>
          <w:b/>
          <w:bCs/>
        </w:rPr>
      </w:pPr>
    </w:p>
    <w:p w14:paraId="27825DA4" w14:textId="77777777" w:rsidR="00786F57" w:rsidRDefault="00786F57" w:rsidP="008E3968">
      <w:pPr>
        <w:rPr>
          <w:b/>
          <w:bCs/>
        </w:rPr>
      </w:pPr>
    </w:p>
    <w:p w14:paraId="27CB9363" w14:textId="77777777" w:rsidR="00786F57" w:rsidRDefault="00786F57" w:rsidP="008E3968">
      <w:pPr>
        <w:rPr>
          <w:b/>
          <w:bCs/>
        </w:rPr>
      </w:pPr>
    </w:p>
    <w:p w14:paraId="46CB576E" w14:textId="77777777" w:rsidR="00786F57" w:rsidRDefault="00786F57" w:rsidP="008E3968">
      <w:pPr>
        <w:rPr>
          <w:b/>
          <w:bCs/>
        </w:rPr>
      </w:pPr>
    </w:p>
    <w:p w14:paraId="6FA0FFA1" w14:textId="77777777" w:rsidR="00786F57" w:rsidRDefault="00786F57" w:rsidP="008E3968">
      <w:pPr>
        <w:rPr>
          <w:b/>
          <w:bCs/>
        </w:rPr>
      </w:pPr>
    </w:p>
    <w:p w14:paraId="3CDE6840" w14:textId="77777777" w:rsidR="00786F57" w:rsidRDefault="00786F57" w:rsidP="008E3968">
      <w:pPr>
        <w:rPr>
          <w:b/>
          <w:bCs/>
        </w:rPr>
      </w:pPr>
    </w:p>
    <w:p w14:paraId="5B0368EF" w14:textId="77777777" w:rsidR="00786F57" w:rsidRDefault="00786F57" w:rsidP="008E3968">
      <w:pPr>
        <w:rPr>
          <w:b/>
          <w:bCs/>
        </w:rPr>
      </w:pPr>
    </w:p>
    <w:p w14:paraId="4E4B148C" w14:textId="3B522FE0" w:rsidR="00017B5D" w:rsidRDefault="00017B5D" w:rsidP="008E3968">
      <w:r w:rsidRPr="009A0DB6">
        <w:rPr>
          <w:b/>
          <w:bCs/>
        </w:rPr>
        <w:t>Guideline authors:</w:t>
      </w:r>
      <w:r>
        <w:t xml:space="preserve"> </w:t>
      </w:r>
      <w:r w:rsidR="00C91597" w:rsidRPr="009A0DB6">
        <w:rPr>
          <w:i/>
          <w:iCs/>
        </w:rPr>
        <w:t xml:space="preserve">Dr </w:t>
      </w:r>
      <w:r w:rsidRPr="009A0DB6">
        <w:rPr>
          <w:i/>
          <w:iCs/>
        </w:rPr>
        <w:t>Bina Mukhtyar,</w:t>
      </w:r>
      <w:r w:rsidR="00C91597" w:rsidRPr="009A0DB6">
        <w:rPr>
          <w:i/>
          <w:iCs/>
        </w:rPr>
        <w:t xml:space="preserve"> Dr</w:t>
      </w:r>
      <w:r w:rsidRPr="009A0DB6">
        <w:rPr>
          <w:i/>
          <w:iCs/>
        </w:rPr>
        <w:t xml:space="preserve"> </w:t>
      </w:r>
      <w:proofErr w:type="spellStart"/>
      <w:r w:rsidRPr="009A0DB6">
        <w:rPr>
          <w:i/>
          <w:iCs/>
        </w:rPr>
        <w:t>Sreeni</w:t>
      </w:r>
      <w:proofErr w:type="spellEnd"/>
      <w:r w:rsidRPr="009A0DB6">
        <w:rPr>
          <w:i/>
          <w:iCs/>
        </w:rPr>
        <w:t xml:space="preserve"> </w:t>
      </w:r>
      <w:r w:rsidR="005F0954" w:rsidRPr="009A0DB6">
        <w:rPr>
          <w:i/>
          <w:iCs/>
        </w:rPr>
        <w:t>Tekki-</w:t>
      </w:r>
      <w:r w:rsidRPr="009A0DB6">
        <w:rPr>
          <w:i/>
          <w:iCs/>
        </w:rPr>
        <w:t>Rao</w:t>
      </w:r>
      <w:r w:rsidR="005F0954" w:rsidRPr="009A0DB6">
        <w:t xml:space="preserve"> </w:t>
      </w:r>
      <w:r w:rsidR="005F0954" w:rsidRPr="009A0DB6">
        <w:rPr>
          <w:i/>
          <w:iCs/>
        </w:rPr>
        <w:t>(</w:t>
      </w:r>
      <w:r w:rsidRPr="009A0DB6">
        <w:rPr>
          <w:i/>
          <w:iCs/>
        </w:rPr>
        <w:t>Consultant Paediatrician</w:t>
      </w:r>
      <w:r w:rsidR="00C91597" w:rsidRPr="009A0DB6">
        <w:rPr>
          <w:i/>
          <w:iCs/>
        </w:rPr>
        <w:t>s</w:t>
      </w:r>
      <w:r w:rsidR="005F0954" w:rsidRPr="009A0DB6">
        <w:rPr>
          <w:i/>
          <w:iCs/>
        </w:rPr>
        <w:t>)</w:t>
      </w:r>
      <w:r w:rsidRPr="009A0DB6">
        <w:rPr>
          <w:i/>
          <w:iCs/>
        </w:rPr>
        <w:t>.</w:t>
      </w:r>
    </w:p>
    <w:p w14:paraId="7FE3265C" w14:textId="11BCE47B" w:rsidR="00017B5D" w:rsidRPr="009A0DB6" w:rsidRDefault="00017B5D" w:rsidP="008E3968">
      <w:pPr>
        <w:rPr>
          <w:i/>
          <w:iCs/>
        </w:rPr>
      </w:pPr>
      <w:r w:rsidRPr="009A0DB6">
        <w:rPr>
          <w:b/>
          <w:bCs/>
        </w:rPr>
        <w:t>Guideline supported by:</w:t>
      </w:r>
      <w:r>
        <w:t xml:space="preserve"> </w:t>
      </w:r>
      <w:r w:rsidRPr="009A0DB6">
        <w:rPr>
          <w:i/>
          <w:iCs/>
        </w:rPr>
        <w:t>Dr Deepa Krishnakumar</w:t>
      </w:r>
      <w:r w:rsidR="00C91597" w:rsidRPr="009A0DB6">
        <w:rPr>
          <w:i/>
          <w:iCs/>
        </w:rPr>
        <w:t xml:space="preserve"> </w:t>
      </w:r>
      <w:r w:rsidR="005F0954" w:rsidRPr="009A0DB6">
        <w:rPr>
          <w:i/>
          <w:iCs/>
        </w:rPr>
        <w:t>(Consultant Paediatric Neurologist)</w:t>
      </w:r>
      <w:r w:rsidRPr="009A0DB6">
        <w:rPr>
          <w:i/>
          <w:iCs/>
        </w:rPr>
        <w:t>, Dr James Nicholson</w:t>
      </w:r>
      <w:r w:rsidR="005F0954" w:rsidRPr="009A0DB6">
        <w:rPr>
          <w:i/>
          <w:iCs/>
        </w:rPr>
        <w:t xml:space="preserve"> and </w:t>
      </w:r>
      <w:r w:rsidRPr="009A0DB6">
        <w:rPr>
          <w:i/>
          <w:iCs/>
        </w:rPr>
        <w:t>Dr Amos Burke</w:t>
      </w:r>
      <w:r w:rsidR="005F0954" w:rsidRPr="009A0DB6">
        <w:rPr>
          <w:i/>
          <w:iCs/>
        </w:rPr>
        <w:t xml:space="preserve"> (Consultant Paediatric Oncologists)</w:t>
      </w:r>
      <w:r w:rsidRPr="009A0DB6">
        <w:rPr>
          <w:i/>
          <w:iCs/>
        </w:rPr>
        <w:t xml:space="preserve">, Miss Katherine </w:t>
      </w:r>
      <w:r w:rsidR="009A0DB6" w:rsidRPr="009A0DB6">
        <w:rPr>
          <w:i/>
          <w:iCs/>
        </w:rPr>
        <w:t xml:space="preserve">Holland </w:t>
      </w:r>
      <w:r w:rsidR="00282FAD">
        <w:rPr>
          <w:i/>
          <w:iCs/>
        </w:rPr>
        <w:t xml:space="preserve">and Mr IB Jalloh </w:t>
      </w:r>
      <w:r w:rsidR="009A0DB6" w:rsidRPr="009A0DB6">
        <w:rPr>
          <w:i/>
          <w:iCs/>
        </w:rPr>
        <w:t>(</w:t>
      </w:r>
      <w:r w:rsidR="005F0954" w:rsidRPr="009A0DB6">
        <w:rPr>
          <w:i/>
          <w:iCs/>
        </w:rPr>
        <w:t>Consultant Paediatric Neurosurgeon</w:t>
      </w:r>
      <w:r w:rsidR="00282FAD">
        <w:rPr>
          <w:i/>
          <w:iCs/>
        </w:rPr>
        <w:t>s</w:t>
      </w:r>
      <w:r w:rsidR="005F0954" w:rsidRPr="009A0DB6">
        <w:rPr>
          <w:i/>
          <w:iCs/>
        </w:rPr>
        <w:t>)</w:t>
      </w:r>
    </w:p>
    <w:sectPr w:rsidR="00017B5D" w:rsidRPr="009A0DB6" w:rsidSect="00FC4418">
      <w:headerReference w:type="default" r:id="rId18"/>
      <w:footerReference w:type="even" r:id="rId19"/>
      <w:footerReference w:type="default" r:id="rId20"/>
      <w:pgSz w:w="11900" w:h="16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608CB" w14:textId="77777777" w:rsidR="00964BDA" w:rsidRDefault="00964BDA">
      <w:r>
        <w:separator/>
      </w:r>
    </w:p>
  </w:endnote>
  <w:endnote w:type="continuationSeparator" w:id="0">
    <w:p w14:paraId="77D35019" w14:textId="77777777" w:rsidR="00964BDA" w:rsidRDefault="0096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AA5E" w14:textId="732B6F8F" w:rsidR="009A0DB6" w:rsidRDefault="009A0DB6" w:rsidP="00EB69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64E1A60" w14:textId="77777777" w:rsidR="009A0DB6" w:rsidRDefault="009A0DB6" w:rsidP="009A0D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237C" w14:textId="726C4C8A" w:rsidR="009A0DB6" w:rsidRDefault="009A0DB6" w:rsidP="00EB69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9EB2C7A" w14:textId="77777777" w:rsidR="009A0DB6" w:rsidRDefault="009A0DB6" w:rsidP="009A0D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3C2C9" w14:textId="77777777" w:rsidR="00964BDA" w:rsidRDefault="00964BDA">
      <w:r>
        <w:separator/>
      </w:r>
    </w:p>
  </w:footnote>
  <w:footnote w:type="continuationSeparator" w:id="0">
    <w:p w14:paraId="51796753" w14:textId="77777777" w:rsidR="00964BDA" w:rsidRDefault="0096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E701" w14:textId="09A1CA16" w:rsidR="0035194D" w:rsidRDefault="00EC09EB" w:rsidP="00AD5DAA">
    <w:pPr>
      <w:pStyle w:val="Header"/>
      <w:jc w:val="right"/>
    </w:pPr>
    <w:r>
      <w:rPr>
        <w:noProof/>
      </w:rPr>
      <w:drawing>
        <wp:inline distT="0" distB="0" distL="0" distR="0" wp14:anchorId="016F1481" wp14:editId="1A3BF7E5">
          <wp:extent cx="4905375" cy="63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537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E94"/>
    <w:multiLevelType w:val="multilevel"/>
    <w:tmpl w:val="EE5C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C2B24"/>
    <w:multiLevelType w:val="hybridMultilevel"/>
    <w:tmpl w:val="6D22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546E47"/>
    <w:multiLevelType w:val="hybridMultilevel"/>
    <w:tmpl w:val="CF96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B3DAF"/>
    <w:multiLevelType w:val="multilevel"/>
    <w:tmpl w:val="A956BAB6"/>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4" w15:restartNumberingAfterBreak="0">
    <w:nsid w:val="2BBB4D47"/>
    <w:multiLevelType w:val="hybridMultilevel"/>
    <w:tmpl w:val="A05C7F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5A0543DA"/>
    <w:multiLevelType w:val="hybridMultilevel"/>
    <w:tmpl w:val="98E04C8A"/>
    <w:lvl w:ilvl="0" w:tplc="C3BA4CB2">
      <w:start w:val="1"/>
      <w:numFmt w:val="bullet"/>
      <w:lvlText w:val="•"/>
      <w:lvlJc w:val="left"/>
      <w:pPr>
        <w:tabs>
          <w:tab w:val="num" w:pos="720"/>
        </w:tabs>
        <w:ind w:left="720" w:hanging="360"/>
      </w:pPr>
      <w:rPr>
        <w:rFonts w:ascii="Arial" w:hAnsi="Arial" w:hint="default"/>
      </w:rPr>
    </w:lvl>
    <w:lvl w:ilvl="1" w:tplc="D18C9DDA">
      <w:numFmt w:val="bullet"/>
      <w:lvlText w:val="–"/>
      <w:lvlJc w:val="left"/>
      <w:pPr>
        <w:tabs>
          <w:tab w:val="num" w:pos="1440"/>
        </w:tabs>
        <w:ind w:left="1440" w:hanging="360"/>
      </w:pPr>
      <w:rPr>
        <w:rFonts w:ascii="Arial" w:hAnsi="Arial" w:hint="default"/>
      </w:rPr>
    </w:lvl>
    <w:lvl w:ilvl="2" w:tplc="510EECBC" w:tentative="1">
      <w:start w:val="1"/>
      <w:numFmt w:val="bullet"/>
      <w:lvlText w:val="•"/>
      <w:lvlJc w:val="left"/>
      <w:pPr>
        <w:tabs>
          <w:tab w:val="num" w:pos="2160"/>
        </w:tabs>
        <w:ind w:left="2160" w:hanging="360"/>
      </w:pPr>
      <w:rPr>
        <w:rFonts w:ascii="Arial" w:hAnsi="Arial" w:hint="default"/>
      </w:rPr>
    </w:lvl>
    <w:lvl w:ilvl="3" w:tplc="91CCD978" w:tentative="1">
      <w:start w:val="1"/>
      <w:numFmt w:val="bullet"/>
      <w:lvlText w:val="•"/>
      <w:lvlJc w:val="left"/>
      <w:pPr>
        <w:tabs>
          <w:tab w:val="num" w:pos="2880"/>
        </w:tabs>
        <w:ind w:left="2880" w:hanging="360"/>
      </w:pPr>
      <w:rPr>
        <w:rFonts w:ascii="Arial" w:hAnsi="Arial" w:hint="default"/>
      </w:rPr>
    </w:lvl>
    <w:lvl w:ilvl="4" w:tplc="74788B0C" w:tentative="1">
      <w:start w:val="1"/>
      <w:numFmt w:val="bullet"/>
      <w:lvlText w:val="•"/>
      <w:lvlJc w:val="left"/>
      <w:pPr>
        <w:tabs>
          <w:tab w:val="num" w:pos="3600"/>
        </w:tabs>
        <w:ind w:left="3600" w:hanging="360"/>
      </w:pPr>
      <w:rPr>
        <w:rFonts w:ascii="Arial" w:hAnsi="Arial" w:hint="default"/>
      </w:rPr>
    </w:lvl>
    <w:lvl w:ilvl="5" w:tplc="E74AAB10" w:tentative="1">
      <w:start w:val="1"/>
      <w:numFmt w:val="bullet"/>
      <w:lvlText w:val="•"/>
      <w:lvlJc w:val="left"/>
      <w:pPr>
        <w:tabs>
          <w:tab w:val="num" w:pos="4320"/>
        </w:tabs>
        <w:ind w:left="4320" w:hanging="360"/>
      </w:pPr>
      <w:rPr>
        <w:rFonts w:ascii="Arial" w:hAnsi="Arial" w:hint="default"/>
      </w:rPr>
    </w:lvl>
    <w:lvl w:ilvl="6" w:tplc="09A2F636" w:tentative="1">
      <w:start w:val="1"/>
      <w:numFmt w:val="bullet"/>
      <w:lvlText w:val="•"/>
      <w:lvlJc w:val="left"/>
      <w:pPr>
        <w:tabs>
          <w:tab w:val="num" w:pos="5040"/>
        </w:tabs>
        <w:ind w:left="5040" w:hanging="360"/>
      </w:pPr>
      <w:rPr>
        <w:rFonts w:ascii="Arial" w:hAnsi="Arial" w:hint="default"/>
      </w:rPr>
    </w:lvl>
    <w:lvl w:ilvl="7" w:tplc="234699C4" w:tentative="1">
      <w:start w:val="1"/>
      <w:numFmt w:val="bullet"/>
      <w:lvlText w:val="•"/>
      <w:lvlJc w:val="left"/>
      <w:pPr>
        <w:tabs>
          <w:tab w:val="num" w:pos="5760"/>
        </w:tabs>
        <w:ind w:left="5760" w:hanging="360"/>
      </w:pPr>
      <w:rPr>
        <w:rFonts w:ascii="Arial" w:hAnsi="Arial" w:hint="default"/>
      </w:rPr>
    </w:lvl>
    <w:lvl w:ilvl="8" w:tplc="5BBA55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DF4151E"/>
    <w:multiLevelType w:val="hybridMultilevel"/>
    <w:tmpl w:val="3620D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F63B2C"/>
    <w:multiLevelType w:val="hybridMultilevel"/>
    <w:tmpl w:val="88C8D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410E04"/>
    <w:multiLevelType w:val="multilevel"/>
    <w:tmpl w:val="B20A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3C3F29"/>
    <w:multiLevelType w:val="hybridMultilevel"/>
    <w:tmpl w:val="7E809B84"/>
    <w:lvl w:ilvl="0" w:tplc="C0F278F6">
      <w:start w:val="1"/>
      <w:numFmt w:val="bullet"/>
      <w:lvlText w:val="•"/>
      <w:lvlJc w:val="left"/>
      <w:pPr>
        <w:tabs>
          <w:tab w:val="num" w:pos="720"/>
        </w:tabs>
        <w:ind w:left="720" w:hanging="360"/>
      </w:pPr>
      <w:rPr>
        <w:rFonts w:ascii="Arial" w:hAnsi="Arial" w:hint="default"/>
      </w:rPr>
    </w:lvl>
    <w:lvl w:ilvl="1" w:tplc="D44C220C" w:tentative="1">
      <w:start w:val="1"/>
      <w:numFmt w:val="bullet"/>
      <w:lvlText w:val="•"/>
      <w:lvlJc w:val="left"/>
      <w:pPr>
        <w:tabs>
          <w:tab w:val="num" w:pos="1440"/>
        </w:tabs>
        <w:ind w:left="1440" w:hanging="360"/>
      </w:pPr>
      <w:rPr>
        <w:rFonts w:ascii="Arial" w:hAnsi="Arial" w:hint="default"/>
      </w:rPr>
    </w:lvl>
    <w:lvl w:ilvl="2" w:tplc="AFA4BB30" w:tentative="1">
      <w:start w:val="1"/>
      <w:numFmt w:val="bullet"/>
      <w:lvlText w:val="•"/>
      <w:lvlJc w:val="left"/>
      <w:pPr>
        <w:tabs>
          <w:tab w:val="num" w:pos="2160"/>
        </w:tabs>
        <w:ind w:left="2160" w:hanging="360"/>
      </w:pPr>
      <w:rPr>
        <w:rFonts w:ascii="Arial" w:hAnsi="Arial" w:hint="default"/>
      </w:rPr>
    </w:lvl>
    <w:lvl w:ilvl="3" w:tplc="A836B850" w:tentative="1">
      <w:start w:val="1"/>
      <w:numFmt w:val="bullet"/>
      <w:lvlText w:val="•"/>
      <w:lvlJc w:val="left"/>
      <w:pPr>
        <w:tabs>
          <w:tab w:val="num" w:pos="2880"/>
        </w:tabs>
        <w:ind w:left="2880" w:hanging="360"/>
      </w:pPr>
      <w:rPr>
        <w:rFonts w:ascii="Arial" w:hAnsi="Arial" w:hint="default"/>
      </w:rPr>
    </w:lvl>
    <w:lvl w:ilvl="4" w:tplc="4B987422" w:tentative="1">
      <w:start w:val="1"/>
      <w:numFmt w:val="bullet"/>
      <w:lvlText w:val="•"/>
      <w:lvlJc w:val="left"/>
      <w:pPr>
        <w:tabs>
          <w:tab w:val="num" w:pos="3600"/>
        </w:tabs>
        <w:ind w:left="3600" w:hanging="360"/>
      </w:pPr>
      <w:rPr>
        <w:rFonts w:ascii="Arial" w:hAnsi="Arial" w:hint="default"/>
      </w:rPr>
    </w:lvl>
    <w:lvl w:ilvl="5" w:tplc="B1A8011A" w:tentative="1">
      <w:start w:val="1"/>
      <w:numFmt w:val="bullet"/>
      <w:lvlText w:val="•"/>
      <w:lvlJc w:val="left"/>
      <w:pPr>
        <w:tabs>
          <w:tab w:val="num" w:pos="4320"/>
        </w:tabs>
        <w:ind w:left="4320" w:hanging="360"/>
      </w:pPr>
      <w:rPr>
        <w:rFonts w:ascii="Arial" w:hAnsi="Arial" w:hint="default"/>
      </w:rPr>
    </w:lvl>
    <w:lvl w:ilvl="6" w:tplc="C4707152" w:tentative="1">
      <w:start w:val="1"/>
      <w:numFmt w:val="bullet"/>
      <w:lvlText w:val="•"/>
      <w:lvlJc w:val="left"/>
      <w:pPr>
        <w:tabs>
          <w:tab w:val="num" w:pos="5040"/>
        </w:tabs>
        <w:ind w:left="5040" w:hanging="360"/>
      </w:pPr>
      <w:rPr>
        <w:rFonts w:ascii="Arial" w:hAnsi="Arial" w:hint="default"/>
      </w:rPr>
    </w:lvl>
    <w:lvl w:ilvl="7" w:tplc="E4288B46" w:tentative="1">
      <w:start w:val="1"/>
      <w:numFmt w:val="bullet"/>
      <w:lvlText w:val="•"/>
      <w:lvlJc w:val="left"/>
      <w:pPr>
        <w:tabs>
          <w:tab w:val="num" w:pos="5760"/>
        </w:tabs>
        <w:ind w:left="5760" w:hanging="360"/>
      </w:pPr>
      <w:rPr>
        <w:rFonts w:ascii="Arial" w:hAnsi="Arial" w:hint="default"/>
      </w:rPr>
    </w:lvl>
    <w:lvl w:ilvl="8" w:tplc="8D2692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6820D6"/>
    <w:multiLevelType w:val="hybridMultilevel"/>
    <w:tmpl w:val="D93C4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6"/>
  </w:num>
  <w:num w:numId="5">
    <w:abstractNumId w:val="0"/>
  </w:num>
  <w:num w:numId="6">
    <w:abstractNumId w:val="3"/>
  </w:num>
  <w:num w:numId="7">
    <w:abstractNumId w:val="2"/>
  </w:num>
  <w:num w:numId="8">
    <w:abstractNumId w:val="1"/>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305"/>
    <w:rsid w:val="00006284"/>
    <w:rsid w:val="00012D10"/>
    <w:rsid w:val="00017B5D"/>
    <w:rsid w:val="00030FD1"/>
    <w:rsid w:val="0006678E"/>
    <w:rsid w:val="0008109D"/>
    <w:rsid w:val="000812DD"/>
    <w:rsid w:val="00093B6A"/>
    <w:rsid w:val="000A0667"/>
    <w:rsid w:val="000B41E0"/>
    <w:rsid w:val="000E0629"/>
    <w:rsid w:val="000E3172"/>
    <w:rsid w:val="0011091B"/>
    <w:rsid w:val="001211E9"/>
    <w:rsid w:val="00136A7E"/>
    <w:rsid w:val="00144216"/>
    <w:rsid w:val="00146673"/>
    <w:rsid w:val="0015488F"/>
    <w:rsid w:val="00175B46"/>
    <w:rsid w:val="00182C5C"/>
    <w:rsid w:val="00190E02"/>
    <w:rsid w:val="001913F7"/>
    <w:rsid w:val="0019415E"/>
    <w:rsid w:val="001960FD"/>
    <w:rsid w:val="001A7F0B"/>
    <w:rsid w:val="001E581E"/>
    <w:rsid w:val="00200946"/>
    <w:rsid w:val="0024318D"/>
    <w:rsid w:val="00282FAD"/>
    <w:rsid w:val="00291A0C"/>
    <w:rsid w:val="0029482D"/>
    <w:rsid w:val="002A2263"/>
    <w:rsid w:val="002A41D1"/>
    <w:rsid w:val="002B27C8"/>
    <w:rsid w:val="002C2524"/>
    <w:rsid w:val="002E6000"/>
    <w:rsid w:val="002F37AF"/>
    <w:rsid w:val="002F5B9C"/>
    <w:rsid w:val="003105BD"/>
    <w:rsid w:val="0031309D"/>
    <w:rsid w:val="0031736F"/>
    <w:rsid w:val="00321FB6"/>
    <w:rsid w:val="00335FCE"/>
    <w:rsid w:val="00337CF0"/>
    <w:rsid w:val="00340485"/>
    <w:rsid w:val="00350290"/>
    <w:rsid w:val="0035194D"/>
    <w:rsid w:val="00354459"/>
    <w:rsid w:val="00362237"/>
    <w:rsid w:val="00374D5B"/>
    <w:rsid w:val="003912BF"/>
    <w:rsid w:val="0039418E"/>
    <w:rsid w:val="003943D0"/>
    <w:rsid w:val="00397F78"/>
    <w:rsid w:val="003D63FE"/>
    <w:rsid w:val="003E068E"/>
    <w:rsid w:val="003E59DE"/>
    <w:rsid w:val="003F1A5C"/>
    <w:rsid w:val="003F7716"/>
    <w:rsid w:val="004210C9"/>
    <w:rsid w:val="00432D5D"/>
    <w:rsid w:val="00444160"/>
    <w:rsid w:val="004449F2"/>
    <w:rsid w:val="004458B8"/>
    <w:rsid w:val="0045516A"/>
    <w:rsid w:val="00486C15"/>
    <w:rsid w:val="004C29B3"/>
    <w:rsid w:val="004C4579"/>
    <w:rsid w:val="004D7E4A"/>
    <w:rsid w:val="005070F5"/>
    <w:rsid w:val="0050719D"/>
    <w:rsid w:val="00511BA8"/>
    <w:rsid w:val="0052714F"/>
    <w:rsid w:val="005341CF"/>
    <w:rsid w:val="00537BCA"/>
    <w:rsid w:val="005A20F5"/>
    <w:rsid w:val="005D43AE"/>
    <w:rsid w:val="005E0E3A"/>
    <w:rsid w:val="005F0954"/>
    <w:rsid w:val="006118FD"/>
    <w:rsid w:val="00624659"/>
    <w:rsid w:val="00695C8B"/>
    <w:rsid w:val="006A398F"/>
    <w:rsid w:val="006D0AE9"/>
    <w:rsid w:val="006F4D8F"/>
    <w:rsid w:val="00703CAD"/>
    <w:rsid w:val="007102BA"/>
    <w:rsid w:val="00744B79"/>
    <w:rsid w:val="00746526"/>
    <w:rsid w:val="00781A36"/>
    <w:rsid w:val="00786F57"/>
    <w:rsid w:val="007B489F"/>
    <w:rsid w:val="007B4E13"/>
    <w:rsid w:val="007C230E"/>
    <w:rsid w:val="007D17CD"/>
    <w:rsid w:val="007E44C9"/>
    <w:rsid w:val="008027E7"/>
    <w:rsid w:val="0083522C"/>
    <w:rsid w:val="008367CA"/>
    <w:rsid w:val="0086011D"/>
    <w:rsid w:val="008614B1"/>
    <w:rsid w:val="00866570"/>
    <w:rsid w:val="0087159A"/>
    <w:rsid w:val="008B7F58"/>
    <w:rsid w:val="008E3968"/>
    <w:rsid w:val="008F054C"/>
    <w:rsid w:val="008F6831"/>
    <w:rsid w:val="00911B40"/>
    <w:rsid w:val="00921C73"/>
    <w:rsid w:val="00963A6B"/>
    <w:rsid w:val="00964BDA"/>
    <w:rsid w:val="00972458"/>
    <w:rsid w:val="00982B51"/>
    <w:rsid w:val="00983CB2"/>
    <w:rsid w:val="00991944"/>
    <w:rsid w:val="009A0DB6"/>
    <w:rsid w:val="009B27F7"/>
    <w:rsid w:val="00A01C7E"/>
    <w:rsid w:val="00A1187C"/>
    <w:rsid w:val="00A31B60"/>
    <w:rsid w:val="00A736D8"/>
    <w:rsid w:val="00AB3AF4"/>
    <w:rsid w:val="00AD3497"/>
    <w:rsid w:val="00AD5DAA"/>
    <w:rsid w:val="00B04DD1"/>
    <w:rsid w:val="00B122B0"/>
    <w:rsid w:val="00B84D9B"/>
    <w:rsid w:val="00B93B54"/>
    <w:rsid w:val="00BC622F"/>
    <w:rsid w:val="00BD203C"/>
    <w:rsid w:val="00BD5D46"/>
    <w:rsid w:val="00C0346D"/>
    <w:rsid w:val="00C0602F"/>
    <w:rsid w:val="00C11832"/>
    <w:rsid w:val="00C4063E"/>
    <w:rsid w:val="00C41448"/>
    <w:rsid w:val="00C50C21"/>
    <w:rsid w:val="00C57743"/>
    <w:rsid w:val="00C73D98"/>
    <w:rsid w:val="00C91547"/>
    <w:rsid w:val="00C91597"/>
    <w:rsid w:val="00C946E7"/>
    <w:rsid w:val="00C97CCA"/>
    <w:rsid w:val="00CC15B9"/>
    <w:rsid w:val="00CC2B4E"/>
    <w:rsid w:val="00CF356D"/>
    <w:rsid w:val="00D205C9"/>
    <w:rsid w:val="00D24C9D"/>
    <w:rsid w:val="00D51527"/>
    <w:rsid w:val="00D7531E"/>
    <w:rsid w:val="00D77399"/>
    <w:rsid w:val="00DE0F6E"/>
    <w:rsid w:val="00DF5B5A"/>
    <w:rsid w:val="00E20A81"/>
    <w:rsid w:val="00E23D49"/>
    <w:rsid w:val="00E25697"/>
    <w:rsid w:val="00E25E11"/>
    <w:rsid w:val="00E27712"/>
    <w:rsid w:val="00E545A9"/>
    <w:rsid w:val="00E82706"/>
    <w:rsid w:val="00E9729C"/>
    <w:rsid w:val="00EA1187"/>
    <w:rsid w:val="00EC09EB"/>
    <w:rsid w:val="00ED2C6F"/>
    <w:rsid w:val="00F103E7"/>
    <w:rsid w:val="00F23507"/>
    <w:rsid w:val="00F27305"/>
    <w:rsid w:val="00F677D3"/>
    <w:rsid w:val="00F82935"/>
    <w:rsid w:val="00FA2864"/>
    <w:rsid w:val="00FC4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AE948D"/>
  <w14:defaultImageDpi w14:val="0"/>
  <w15:docId w15:val="{F3CF6BFA-265F-124B-B60A-5B162B9E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AE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uiPriority w:val="99"/>
    <w:rsid w:val="002F37AF"/>
    <w:rPr>
      <w:rFonts w:ascii="Helvetica" w:hAnsi="Helvetica"/>
      <w:sz w:val="21"/>
      <w:szCs w:val="21"/>
      <w:lang w:eastAsia="en-GB"/>
    </w:rPr>
  </w:style>
  <w:style w:type="paragraph" w:styleId="ListParagraph">
    <w:name w:val="List Paragraph"/>
    <w:basedOn w:val="Normal"/>
    <w:uiPriority w:val="34"/>
    <w:qFormat/>
    <w:rsid w:val="00982B51"/>
    <w:pPr>
      <w:ind w:left="720"/>
      <w:contextualSpacing/>
    </w:pPr>
  </w:style>
  <w:style w:type="character" w:styleId="Hyperlink">
    <w:name w:val="Hyperlink"/>
    <w:uiPriority w:val="99"/>
    <w:rsid w:val="00982B51"/>
    <w:rPr>
      <w:rFonts w:cs="Times New Roman"/>
      <w:color w:val="0563C1"/>
      <w:u w:val="single"/>
    </w:rPr>
  </w:style>
  <w:style w:type="character" w:customStyle="1" w:styleId="apple-converted-space">
    <w:name w:val="apple-converted-space"/>
    <w:uiPriority w:val="99"/>
    <w:rsid w:val="0031736F"/>
  </w:style>
  <w:style w:type="character" w:customStyle="1" w:styleId="s1">
    <w:name w:val="s1"/>
    <w:uiPriority w:val="99"/>
    <w:rsid w:val="002C2524"/>
  </w:style>
  <w:style w:type="paragraph" w:customStyle="1" w:styleId="p5">
    <w:name w:val="p5"/>
    <w:basedOn w:val="Normal"/>
    <w:uiPriority w:val="99"/>
    <w:rsid w:val="002C2524"/>
    <w:rPr>
      <w:rFonts w:ascii="Helvetica" w:hAnsi="Helvetica"/>
      <w:color w:val="535353"/>
      <w:sz w:val="41"/>
      <w:szCs w:val="41"/>
      <w:lang w:eastAsia="en-GB"/>
    </w:rPr>
  </w:style>
  <w:style w:type="character" w:customStyle="1" w:styleId="color34">
    <w:name w:val="color_34"/>
    <w:uiPriority w:val="99"/>
    <w:rsid w:val="00DF5B5A"/>
  </w:style>
  <w:style w:type="character" w:styleId="FollowedHyperlink">
    <w:name w:val="FollowedHyperlink"/>
    <w:uiPriority w:val="99"/>
    <w:semiHidden/>
    <w:rsid w:val="006118FD"/>
    <w:rPr>
      <w:rFonts w:cs="Times New Roman"/>
      <w:color w:val="954F72"/>
      <w:u w:val="single"/>
    </w:rPr>
  </w:style>
  <w:style w:type="paragraph" w:styleId="Header">
    <w:name w:val="header"/>
    <w:basedOn w:val="Normal"/>
    <w:link w:val="HeaderChar"/>
    <w:uiPriority w:val="99"/>
    <w:rsid w:val="00AD5DAA"/>
    <w:pPr>
      <w:tabs>
        <w:tab w:val="center" w:pos="4153"/>
        <w:tab w:val="right" w:pos="8306"/>
      </w:tabs>
    </w:pPr>
  </w:style>
  <w:style w:type="character" w:customStyle="1" w:styleId="HeaderChar">
    <w:name w:val="Header Char"/>
    <w:link w:val="Header"/>
    <w:uiPriority w:val="99"/>
    <w:semiHidden/>
    <w:locked/>
    <w:rPr>
      <w:sz w:val="24"/>
      <w:lang w:val="x-none" w:eastAsia="en-US"/>
    </w:rPr>
  </w:style>
  <w:style w:type="paragraph" w:styleId="Footer">
    <w:name w:val="footer"/>
    <w:basedOn w:val="Normal"/>
    <w:link w:val="FooterChar"/>
    <w:uiPriority w:val="99"/>
    <w:rsid w:val="00AD5DAA"/>
    <w:pPr>
      <w:tabs>
        <w:tab w:val="center" w:pos="4153"/>
        <w:tab w:val="right" w:pos="8306"/>
      </w:tabs>
    </w:pPr>
  </w:style>
  <w:style w:type="character" w:customStyle="1" w:styleId="FooterChar">
    <w:name w:val="Footer Char"/>
    <w:link w:val="Footer"/>
    <w:uiPriority w:val="99"/>
    <w:semiHidden/>
    <w:locked/>
    <w:rPr>
      <w:sz w:val="24"/>
      <w:lang w:val="x-none" w:eastAsia="en-US"/>
    </w:rPr>
  </w:style>
  <w:style w:type="character" w:styleId="UnresolvedMention">
    <w:name w:val="Unresolved Mention"/>
    <w:uiPriority w:val="99"/>
    <w:semiHidden/>
    <w:unhideWhenUsed/>
    <w:rsid w:val="00C11832"/>
    <w:rPr>
      <w:color w:val="605E5C"/>
      <w:shd w:val="clear" w:color="auto" w:fill="E1DFDD"/>
    </w:rPr>
  </w:style>
  <w:style w:type="paragraph" w:styleId="NormalWeb">
    <w:name w:val="Normal (Web)"/>
    <w:basedOn w:val="Normal"/>
    <w:uiPriority w:val="99"/>
    <w:semiHidden/>
    <w:unhideWhenUsed/>
    <w:rsid w:val="003D63FE"/>
    <w:rPr>
      <w:rFonts w:ascii="Times New Roman" w:hAnsi="Times New Roman"/>
    </w:rPr>
  </w:style>
  <w:style w:type="character" w:styleId="PageNumber">
    <w:name w:val="page number"/>
    <w:basedOn w:val="DefaultParagraphFont"/>
    <w:uiPriority w:val="99"/>
    <w:semiHidden/>
    <w:unhideWhenUsed/>
    <w:rsid w:val="009A0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65012">
      <w:bodyDiv w:val="1"/>
      <w:marLeft w:val="0"/>
      <w:marRight w:val="0"/>
      <w:marTop w:val="0"/>
      <w:marBottom w:val="0"/>
      <w:divBdr>
        <w:top w:val="none" w:sz="0" w:space="0" w:color="auto"/>
        <w:left w:val="none" w:sz="0" w:space="0" w:color="auto"/>
        <w:bottom w:val="none" w:sz="0" w:space="0" w:color="auto"/>
        <w:right w:val="none" w:sz="0" w:space="0" w:color="auto"/>
      </w:divBdr>
      <w:divsChild>
        <w:div w:id="1024210184">
          <w:marLeft w:val="0"/>
          <w:marRight w:val="0"/>
          <w:marTop w:val="0"/>
          <w:marBottom w:val="0"/>
          <w:divBdr>
            <w:top w:val="none" w:sz="0" w:space="0" w:color="auto"/>
            <w:left w:val="none" w:sz="0" w:space="0" w:color="auto"/>
            <w:bottom w:val="none" w:sz="0" w:space="0" w:color="auto"/>
            <w:right w:val="none" w:sz="0" w:space="0" w:color="auto"/>
          </w:divBdr>
          <w:divsChild>
            <w:div w:id="1877505701">
              <w:marLeft w:val="0"/>
              <w:marRight w:val="0"/>
              <w:marTop w:val="0"/>
              <w:marBottom w:val="0"/>
              <w:divBdr>
                <w:top w:val="none" w:sz="0" w:space="0" w:color="auto"/>
                <w:left w:val="none" w:sz="0" w:space="0" w:color="auto"/>
                <w:bottom w:val="none" w:sz="0" w:space="0" w:color="auto"/>
                <w:right w:val="none" w:sz="0" w:space="0" w:color="auto"/>
              </w:divBdr>
              <w:divsChild>
                <w:div w:id="989752290">
                  <w:marLeft w:val="0"/>
                  <w:marRight w:val="0"/>
                  <w:marTop w:val="0"/>
                  <w:marBottom w:val="0"/>
                  <w:divBdr>
                    <w:top w:val="none" w:sz="0" w:space="0" w:color="auto"/>
                    <w:left w:val="none" w:sz="0" w:space="0" w:color="auto"/>
                    <w:bottom w:val="none" w:sz="0" w:space="0" w:color="auto"/>
                    <w:right w:val="none" w:sz="0" w:space="0" w:color="auto"/>
                  </w:divBdr>
                  <w:divsChild>
                    <w:div w:id="197356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774597">
      <w:bodyDiv w:val="1"/>
      <w:marLeft w:val="0"/>
      <w:marRight w:val="0"/>
      <w:marTop w:val="0"/>
      <w:marBottom w:val="0"/>
      <w:divBdr>
        <w:top w:val="none" w:sz="0" w:space="0" w:color="auto"/>
        <w:left w:val="none" w:sz="0" w:space="0" w:color="auto"/>
        <w:bottom w:val="none" w:sz="0" w:space="0" w:color="auto"/>
        <w:right w:val="none" w:sz="0" w:space="0" w:color="auto"/>
      </w:divBdr>
    </w:div>
    <w:div w:id="327751682">
      <w:bodyDiv w:val="1"/>
      <w:marLeft w:val="0"/>
      <w:marRight w:val="0"/>
      <w:marTop w:val="0"/>
      <w:marBottom w:val="0"/>
      <w:divBdr>
        <w:top w:val="none" w:sz="0" w:space="0" w:color="auto"/>
        <w:left w:val="none" w:sz="0" w:space="0" w:color="auto"/>
        <w:bottom w:val="none" w:sz="0" w:space="0" w:color="auto"/>
        <w:right w:val="none" w:sz="0" w:space="0" w:color="auto"/>
      </w:divBdr>
      <w:divsChild>
        <w:div w:id="1584220596">
          <w:marLeft w:val="0"/>
          <w:marRight w:val="0"/>
          <w:marTop w:val="0"/>
          <w:marBottom w:val="0"/>
          <w:divBdr>
            <w:top w:val="none" w:sz="0" w:space="0" w:color="auto"/>
            <w:left w:val="none" w:sz="0" w:space="0" w:color="auto"/>
            <w:bottom w:val="none" w:sz="0" w:space="0" w:color="auto"/>
            <w:right w:val="none" w:sz="0" w:space="0" w:color="auto"/>
          </w:divBdr>
          <w:divsChild>
            <w:div w:id="387807593">
              <w:marLeft w:val="0"/>
              <w:marRight w:val="0"/>
              <w:marTop w:val="0"/>
              <w:marBottom w:val="0"/>
              <w:divBdr>
                <w:top w:val="none" w:sz="0" w:space="0" w:color="auto"/>
                <w:left w:val="none" w:sz="0" w:space="0" w:color="auto"/>
                <w:bottom w:val="none" w:sz="0" w:space="0" w:color="auto"/>
                <w:right w:val="none" w:sz="0" w:space="0" w:color="auto"/>
              </w:divBdr>
              <w:divsChild>
                <w:div w:id="17097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2018">
      <w:bodyDiv w:val="1"/>
      <w:marLeft w:val="0"/>
      <w:marRight w:val="0"/>
      <w:marTop w:val="0"/>
      <w:marBottom w:val="0"/>
      <w:divBdr>
        <w:top w:val="none" w:sz="0" w:space="0" w:color="auto"/>
        <w:left w:val="none" w:sz="0" w:space="0" w:color="auto"/>
        <w:bottom w:val="none" w:sz="0" w:space="0" w:color="auto"/>
        <w:right w:val="none" w:sz="0" w:space="0" w:color="auto"/>
      </w:divBdr>
      <w:divsChild>
        <w:div w:id="1420757106">
          <w:marLeft w:val="0"/>
          <w:marRight w:val="0"/>
          <w:marTop w:val="0"/>
          <w:marBottom w:val="0"/>
          <w:divBdr>
            <w:top w:val="none" w:sz="0" w:space="0" w:color="auto"/>
            <w:left w:val="none" w:sz="0" w:space="0" w:color="auto"/>
            <w:bottom w:val="none" w:sz="0" w:space="0" w:color="auto"/>
            <w:right w:val="none" w:sz="0" w:space="0" w:color="auto"/>
          </w:divBdr>
        </w:div>
      </w:divsChild>
    </w:div>
    <w:div w:id="603076892">
      <w:bodyDiv w:val="1"/>
      <w:marLeft w:val="0"/>
      <w:marRight w:val="0"/>
      <w:marTop w:val="0"/>
      <w:marBottom w:val="0"/>
      <w:divBdr>
        <w:top w:val="none" w:sz="0" w:space="0" w:color="auto"/>
        <w:left w:val="none" w:sz="0" w:space="0" w:color="auto"/>
        <w:bottom w:val="none" w:sz="0" w:space="0" w:color="auto"/>
        <w:right w:val="none" w:sz="0" w:space="0" w:color="auto"/>
      </w:divBdr>
      <w:divsChild>
        <w:div w:id="1719238162">
          <w:marLeft w:val="0"/>
          <w:marRight w:val="0"/>
          <w:marTop w:val="0"/>
          <w:marBottom w:val="0"/>
          <w:divBdr>
            <w:top w:val="none" w:sz="0" w:space="0" w:color="auto"/>
            <w:left w:val="none" w:sz="0" w:space="0" w:color="auto"/>
            <w:bottom w:val="none" w:sz="0" w:space="0" w:color="auto"/>
            <w:right w:val="none" w:sz="0" w:space="0" w:color="auto"/>
          </w:divBdr>
          <w:divsChild>
            <w:div w:id="1495366974">
              <w:marLeft w:val="0"/>
              <w:marRight w:val="0"/>
              <w:marTop w:val="0"/>
              <w:marBottom w:val="0"/>
              <w:divBdr>
                <w:top w:val="none" w:sz="0" w:space="0" w:color="auto"/>
                <w:left w:val="none" w:sz="0" w:space="0" w:color="auto"/>
                <w:bottom w:val="none" w:sz="0" w:space="0" w:color="auto"/>
                <w:right w:val="none" w:sz="0" w:space="0" w:color="auto"/>
              </w:divBdr>
              <w:divsChild>
                <w:div w:id="11685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87886">
      <w:bodyDiv w:val="1"/>
      <w:marLeft w:val="0"/>
      <w:marRight w:val="0"/>
      <w:marTop w:val="0"/>
      <w:marBottom w:val="0"/>
      <w:divBdr>
        <w:top w:val="none" w:sz="0" w:space="0" w:color="auto"/>
        <w:left w:val="none" w:sz="0" w:space="0" w:color="auto"/>
        <w:bottom w:val="none" w:sz="0" w:space="0" w:color="auto"/>
        <w:right w:val="none" w:sz="0" w:space="0" w:color="auto"/>
      </w:divBdr>
      <w:divsChild>
        <w:div w:id="2065518455">
          <w:marLeft w:val="0"/>
          <w:marRight w:val="0"/>
          <w:marTop w:val="0"/>
          <w:marBottom w:val="0"/>
          <w:divBdr>
            <w:top w:val="none" w:sz="0" w:space="0" w:color="auto"/>
            <w:left w:val="none" w:sz="0" w:space="0" w:color="auto"/>
            <w:bottom w:val="none" w:sz="0" w:space="0" w:color="auto"/>
            <w:right w:val="none" w:sz="0" w:space="0" w:color="auto"/>
          </w:divBdr>
        </w:div>
      </w:divsChild>
    </w:div>
    <w:div w:id="868446848">
      <w:bodyDiv w:val="1"/>
      <w:marLeft w:val="0"/>
      <w:marRight w:val="0"/>
      <w:marTop w:val="0"/>
      <w:marBottom w:val="0"/>
      <w:divBdr>
        <w:top w:val="none" w:sz="0" w:space="0" w:color="auto"/>
        <w:left w:val="none" w:sz="0" w:space="0" w:color="auto"/>
        <w:bottom w:val="none" w:sz="0" w:space="0" w:color="auto"/>
        <w:right w:val="none" w:sz="0" w:space="0" w:color="auto"/>
      </w:divBdr>
      <w:divsChild>
        <w:div w:id="120465095">
          <w:marLeft w:val="0"/>
          <w:marRight w:val="0"/>
          <w:marTop w:val="0"/>
          <w:marBottom w:val="0"/>
          <w:divBdr>
            <w:top w:val="none" w:sz="0" w:space="0" w:color="auto"/>
            <w:left w:val="none" w:sz="0" w:space="0" w:color="auto"/>
            <w:bottom w:val="none" w:sz="0" w:space="0" w:color="auto"/>
            <w:right w:val="none" w:sz="0" w:space="0" w:color="auto"/>
          </w:divBdr>
        </w:div>
      </w:divsChild>
    </w:div>
    <w:div w:id="1219976294">
      <w:bodyDiv w:val="1"/>
      <w:marLeft w:val="0"/>
      <w:marRight w:val="0"/>
      <w:marTop w:val="0"/>
      <w:marBottom w:val="0"/>
      <w:divBdr>
        <w:top w:val="none" w:sz="0" w:space="0" w:color="auto"/>
        <w:left w:val="none" w:sz="0" w:space="0" w:color="auto"/>
        <w:bottom w:val="none" w:sz="0" w:space="0" w:color="auto"/>
        <w:right w:val="none" w:sz="0" w:space="0" w:color="auto"/>
      </w:divBdr>
      <w:divsChild>
        <w:div w:id="208611706">
          <w:marLeft w:val="0"/>
          <w:marRight w:val="0"/>
          <w:marTop w:val="0"/>
          <w:marBottom w:val="0"/>
          <w:divBdr>
            <w:top w:val="none" w:sz="0" w:space="0" w:color="auto"/>
            <w:left w:val="none" w:sz="0" w:space="0" w:color="auto"/>
            <w:bottom w:val="none" w:sz="0" w:space="0" w:color="auto"/>
            <w:right w:val="none" w:sz="0" w:space="0" w:color="auto"/>
          </w:divBdr>
        </w:div>
      </w:divsChild>
    </w:div>
    <w:div w:id="1274171032">
      <w:bodyDiv w:val="1"/>
      <w:marLeft w:val="0"/>
      <w:marRight w:val="0"/>
      <w:marTop w:val="0"/>
      <w:marBottom w:val="0"/>
      <w:divBdr>
        <w:top w:val="none" w:sz="0" w:space="0" w:color="auto"/>
        <w:left w:val="none" w:sz="0" w:space="0" w:color="auto"/>
        <w:bottom w:val="none" w:sz="0" w:space="0" w:color="auto"/>
        <w:right w:val="none" w:sz="0" w:space="0" w:color="auto"/>
      </w:divBdr>
    </w:div>
    <w:div w:id="1634555011">
      <w:bodyDiv w:val="1"/>
      <w:marLeft w:val="0"/>
      <w:marRight w:val="0"/>
      <w:marTop w:val="0"/>
      <w:marBottom w:val="0"/>
      <w:divBdr>
        <w:top w:val="none" w:sz="0" w:space="0" w:color="auto"/>
        <w:left w:val="none" w:sz="0" w:space="0" w:color="auto"/>
        <w:bottom w:val="none" w:sz="0" w:space="0" w:color="auto"/>
        <w:right w:val="none" w:sz="0" w:space="0" w:color="auto"/>
      </w:divBdr>
      <w:divsChild>
        <w:div w:id="1380938552">
          <w:marLeft w:val="0"/>
          <w:marRight w:val="0"/>
          <w:marTop w:val="0"/>
          <w:marBottom w:val="0"/>
          <w:divBdr>
            <w:top w:val="none" w:sz="0" w:space="0" w:color="auto"/>
            <w:left w:val="none" w:sz="0" w:space="0" w:color="auto"/>
            <w:bottom w:val="none" w:sz="0" w:space="0" w:color="auto"/>
            <w:right w:val="none" w:sz="0" w:space="0" w:color="auto"/>
          </w:divBdr>
          <w:divsChild>
            <w:div w:id="325281941">
              <w:marLeft w:val="0"/>
              <w:marRight w:val="0"/>
              <w:marTop w:val="0"/>
              <w:marBottom w:val="0"/>
              <w:divBdr>
                <w:top w:val="none" w:sz="0" w:space="0" w:color="auto"/>
                <w:left w:val="none" w:sz="0" w:space="0" w:color="auto"/>
                <w:bottom w:val="none" w:sz="0" w:space="0" w:color="auto"/>
                <w:right w:val="none" w:sz="0" w:space="0" w:color="auto"/>
              </w:divBdr>
              <w:divsChild>
                <w:div w:id="884567205">
                  <w:marLeft w:val="0"/>
                  <w:marRight w:val="0"/>
                  <w:marTop w:val="0"/>
                  <w:marBottom w:val="0"/>
                  <w:divBdr>
                    <w:top w:val="none" w:sz="0" w:space="0" w:color="auto"/>
                    <w:left w:val="none" w:sz="0" w:space="0" w:color="auto"/>
                    <w:bottom w:val="none" w:sz="0" w:space="0" w:color="auto"/>
                    <w:right w:val="none" w:sz="0" w:space="0" w:color="auto"/>
                  </w:divBdr>
                  <w:divsChild>
                    <w:div w:id="19967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16952">
      <w:bodyDiv w:val="1"/>
      <w:marLeft w:val="0"/>
      <w:marRight w:val="0"/>
      <w:marTop w:val="0"/>
      <w:marBottom w:val="0"/>
      <w:divBdr>
        <w:top w:val="none" w:sz="0" w:space="0" w:color="auto"/>
        <w:left w:val="none" w:sz="0" w:space="0" w:color="auto"/>
        <w:bottom w:val="none" w:sz="0" w:space="0" w:color="auto"/>
        <w:right w:val="none" w:sz="0" w:space="0" w:color="auto"/>
      </w:divBdr>
    </w:div>
    <w:div w:id="1741369506">
      <w:marLeft w:val="0"/>
      <w:marRight w:val="0"/>
      <w:marTop w:val="0"/>
      <w:marBottom w:val="0"/>
      <w:divBdr>
        <w:top w:val="none" w:sz="0" w:space="0" w:color="auto"/>
        <w:left w:val="none" w:sz="0" w:space="0" w:color="auto"/>
        <w:bottom w:val="none" w:sz="0" w:space="0" w:color="auto"/>
        <w:right w:val="none" w:sz="0" w:space="0" w:color="auto"/>
      </w:divBdr>
    </w:div>
    <w:div w:id="1741369507">
      <w:marLeft w:val="0"/>
      <w:marRight w:val="0"/>
      <w:marTop w:val="0"/>
      <w:marBottom w:val="0"/>
      <w:divBdr>
        <w:top w:val="none" w:sz="0" w:space="0" w:color="auto"/>
        <w:left w:val="none" w:sz="0" w:space="0" w:color="auto"/>
        <w:bottom w:val="none" w:sz="0" w:space="0" w:color="auto"/>
        <w:right w:val="none" w:sz="0" w:space="0" w:color="auto"/>
      </w:divBdr>
    </w:div>
    <w:div w:id="1741369509">
      <w:marLeft w:val="0"/>
      <w:marRight w:val="0"/>
      <w:marTop w:val="0"/>
      <w:marBottom w:val="0"/>
      <w:divBdr>
        <w:top w:val="none" w:sz="0" w:space="0" w:color="auto"/>
        <w:left w:val="none" w:sz="0" w:space="0" w:color="auto"/>
        <w:bottom w:val="none" w:sz="0" w:space="0" w:color="auto"/>
        <w:right w:val="none" w:sz="0" w:space="0" w:color="auto"/>
      </w:divBdr>
    </w:div>
    <w:div w:id="1741369511">
      <w:marLeft w:val="0"/>
      <w:marRight w:val="0"/>
      <w:marTop w:val="0"/>
      <w:marBottom w:val="0"/>
      <w:divBdr>
        <w:top w:val="none" w:sz="0" w:space="0" w:color="auto"/>
        <w:left w:val="none" w:sz="0" w:space="0" w:color="auto"/>
        <w:bottom w:val="none" w:sz="0" w:space="0" w:color="auto"/>
        <w:right w:val="none" w:sz="0" w:space="0" w:color="auto"/>
      </w:divBdr>
    </w:div>
    <w:div w:id="1741369512">
      <w:marLeft w:val="0"/>
      <w:marRight w:val="0"/>
      <w:marTop w:val="0"/>
      <w:marBottom w:val="0"/>
      <w:divBdr>
        <w:top w:val="none" w:sz="0" w:space="0" w:color="auto"/>
        <w:left w:val="none" w:sz="0" w:space="0" w:color="auto"/>
        <w:bottom w:val="none" w:sz="0" w:space="0" w:color="auto"/>
        <w:right w:val="none" w:sz="0" w:space="0" w:color="auto"/>
      </w:divBdr>
    </w:div>
    <w:div w:id="1741369513">
      <w:marLeft w:val="0"/>
      <w:marRight w:val="0"/>
      <w:marTop w:val="0"/>
      <w:marBottom w:val="0"/>
      <w:divBdr>
        <w:top w:val="none" w:sz="0" w:space="0" w:color="auto"/>
        <w:left w:val="none" w:sz="0" w:space="0" w:color="auto"/>
        <w:bottom w:val="none" w:sz="0" w:space="0" w:color="auto"/>
        <w:right w:val="none" w:sz="0" w:space="0" w:color="auto"/>
      </w:divBdr>
    </w:div>
    <w:div w:id="1741369515">
      <w:marLeft w:val="0"/>
      <w:marRight w:val="0"/>
      <w:marTop w:val="0"/>
      <w:marBottom w:val="0"/>
      <w:divBdr>
        <w:top w:val="none" w:sz="0" w:space="0" w:color="auto"/>
        <w:left w:val="none" w:sz="0" w:space="0" w:color="auto"/>
        <w:bottom w:val="none" w:sz="0" w:space="0" w:color="auto"/>
        <w:right w:val="none" w:sz="0" w:space="0" w:color="auto"/>
      </w:divBdr>
    </w:div>
    <w:div w:id="1741369517">
      <w:marLeft w:val="0"/>
      <w:marRight w:val="0"/>
      <w:marTop w:val="0"/>
      <w:marBottom w:val="0"/>
      <w:divBdr>
        <w:top w:val="none" w:sz="0" w:space="0" w:color="auto"/>
        <w:left w:val="none" w:sz="0" w:space="0" w:color="auto"/>
        <w:bottom w:val="none" w:sz="0" w:space="0" w:color="auto"/>
        <w:right w:val="none" w:sz="0" w:space="0" w:color="auto"/>
      </w:divBdr>
      <w:divsChild>
        <w:div w:id="1741369503">
          <w:marLeft w:val="547"/>
          <w:marRight w:val="0"/>
          <w:marTop w:val="154"/>
          <w:marBottom w:val="0"/>
          <w:divBdr>
            <w:top w:val="none" w:sz="0" w:space="0" w:color="auto"/>
            <w:left w:val="none" w:sz="0" w:space="0" w:color="auto"/>
            <w:bottom w:val="none" w:sz="0" w:space="0" w:color="auto"/>
            <w:right w:val="none" w:sz="0" w:space="0" w:color="auto"/>
          </w:divBdr>
        </w:div>
        <w:div w:id="1741369518">
          <w:marLeft w:val="547"/>
          <w:marRight w:val="0"/>
          <w:marTop w:val="154"/>
          <w:marBottom w:val="0"/>
          <w:divBdr>
            <w:top w:val="none" w:sz="0" w:space="0" w:color="auto"/>
            <w:left w:val="none" w:sz="0" w:space="0" w:color="auto"/>
            <w:bottom w:val="none" w:sz="0" w:space="0" w:color="auto"/>
            <w:right w:val="none" w:sz="0" w:space="0" w:color="auto"/>
          </w:divBdr>
        </w:div>
      </w:divsChild>
    </w:div>
    <w:div w:id="1741369519">
      <w:marLeft w:val="0"/>
      <w:marRight w:val="0"/>
      <w:marTop w:val="0"/>
      <w:marBottom w:val="0"/>
      <w:divBdr>
        <w:top w:val="none" w:sz="0" w:space="0" w:color="auto"/>
        <w:left w:val="none" w:sz="0" w:space="0" w:color="auto"/>
        <w:bottom w:val="none" w:sz="0" w:space="0" w:color="auto"/>
        <w:right w:val="none" w:sz="0" w:space="0" w:color="auto"/>
      </w:divBdr>
    </w:div>
    <w:div w:id="1741369520">
      <w:marLeft w:val="0"/>
      <w:marRight w:val="0"/>
      <w:marTop w:val="0"/>
      <w:marBottom w:val="0"/>
      <w:divBdr>
        <w:top w:val="none" w:sz="0" w:space="0" w:color="auto"/>
        <w:left w:val="none" w:sz="0" w:space="0" w:color="auto"/>
        <w:bottom w:val="none" w:sz="0" w:space="0" w:color="auto"/>
        <w:right w:val="none" w:sz="0" w:space="0" w:color="auto"/>
      </w:divBdr>
    </w:div>
    <w:div w:id="1741369523">
      <w:marLeft w:val="0"/>
      <w:marRight w:val="0"/>
      <w:marTop w:val="0"/>
      <w:marBottom w:val="0"/>
      <w:divBdr>
        <w:top w:val="none" w:sz="0" w:space="0" w:color="auto"/>
        <w:left w:val="none" w:sz="0" w:space="0" w:color="auto"/>
        <w:bottom w:val="none" w:sz="0" w:space="0" w:color="auto"/>
        <w:right w:val="none" w:sz="0" w:space="0" w:color="auto"/>
      </w:divBdr>
      <w:divsChild>
        <w:div w:id="1741369504">
          <w:marLeft w:val="547"/>
          <w:marRight w:val="0"/>
          <w:marTop w:val="144"/>
          <w:marBottom w:val="0"/>
          <w:divBdr>
            <w:top w:val="none" w:sz="0" w:space="0" w:color="auto"/>
            <w:left w:val="none" w:sz="0" w:space="0" w:color="auto"/>
            <w:bottom w:val="none" w:sz="0" w:space="0" w:color="auto"/>
            <w:right w:val="none" w:sz="0" w:space="0" w:color="auto"/>
          </w:divBdr>
        </w:div>
        <w:div w:id="1741369505">
          <w:marLeft w:val="1166"/>
          <w:marRight w:val="0"/>
          <w:marTop w:val="125"/>
          <w:marBottom w:val="0"/>
          <w:divBdr>
            <w:top w:val="none" w:sz="0" w:space="0" w:color="auto"/>
            <w:left w:val="none" w:sz="0" w:space="0" w:color="auto"/>
            <w:bottom w:val="none" w:sz="0" w:space="0" w:color="auto"/>
            <w:right w:val="none" w:sz="0" w:space="0" w:color="auto"/>
          </w:divBdr>
        </w:div>
        <w:div w:id="1741369508">
          <w:marLeft w:val="547"/>
          <w:marRight w:val="0"/>
          <w:marTop w:val="144"/>
          <w:marBottom w:val="0"/>
          <w:divBdr>
            <w:top w:val="none" w:sz="0" w:space="0" w:color="auto"/>
            <w:left w:val="none" w:sz="0" w:space="0" w:color="auto"/>
            <w:bottom w:val="none" w:sz="0" w:space="0" w:color="auto"/>
            <w:right w:val="none" w:sz="0" w:space="0" w:color="auto"/>
          </w:divBdr>
        </w:div>
        <w:div w:id="1741369510">
          <w:marLeft w:val="547"/>
          <w:marRight w:val="0"/>
          <w:marTop w:val="144"/>
          <w:marBottom w:val="0"/>
          <w:divBdr>
            <w:top w:val="none" w:sz="0" w:space="0" w:color="auto"/>
            <w:left w:val="none" w:sz="0" w:space="0" w:color="auto"/>
            <w:bottom w:val="none" w:sz="0" w:space="0" w:color="auto"/>
            <w:right w:val="none" w:sz="0" w:space="0" w:color="auto"/>
          </w:divBdr>
        </w:div>
        <w:div w:id="1741369514">
          <w:marLeft w:val="547"/>
          <w:marRight w:val="0"/>
          <w:marTop w:val="144"/>
          <w:marBottom w:val="0"/>
          <w:divBdr>
            <w:top w:val="none" w:sz="0" w:space="0" w:color="auto"/>
            <w:left w:val="none" w:sz="0" w:space="0" w:color="auto"/>
            <w:bottom w:val="none" w:sz="0" w:space="0" w:color="auto"/>
            <w:right w:val="none" w:sz="0" w:space="0" w:color="auto"/>
          </w:divBdr>
        </w:div>
        <w:div w:id="1741369516">
          <w:marLeft w:val="547"/>
          <w:marRight w:val="0"/>
          <w:marTop w:val="144"/>
          <w:marBottom w:val="0"/>
          <w:divBdr>
            <w:top w:val="none" w:sz="0" w:space="0" w:color="auto"/>
            <w:left w:val="none" w:sz="0" w:space="0" w:color="auto"/>
            <w:bottom w:val="none" w:sz="0" w:space="0" w:color="auto"/>
            <w:right w:val="none" w:sz="0" w:space="0" w:color="auto"/>
          </w:divBdr>
        </w:div>
        <w:div w:id="1741369521">
          <w:marLeft w:val="547"/>
          <w:marRight w:val="0"/>
          <w:marTop w:val="144"/>
          <w:marBottom w:val="0"/>
          <w:divBdr>
            <w:top w:val="none" w:sz="0" w:space="0" w:color="auto"/>
            <w:left w:val="none" w:sz="0" w:space="0" w:color="auto"/>
            <w:bottom w:val="none" w:sz="0" w:space="0" w:color="auto"/>
            <w:right w:val="none" w:sz="0" w:space="0" w:color="auto"/>
          </w:divBdr>
        </w:div>
        <w:div w:id="1741369522">
          <w:marLeft w:val="1166"/>
          <w:marRight w:val="0"/>
          <w:marTop w:val="125"/>
          <w:marBottom w:val="0"/>
          <w:divBdr>
            <w:top w:val="none" w:sz="0" w:space="0" w:color="auto"/>
            <w:left w:val="none" w:sz="0" w:space="0" w:color="auto"/>
            <w:bottom w:val="none" w:sz="0" w:space="0" w:color="auto"/>
            <w:right w:val="none" w:sz="0" w:space="0" w:color="auto"/>
          </w:divBdr>
        </w:div>
        <w:div w:id="1741369524">
          <w:marLeft w:val="547"/>
          <w:marRight w:val="0"/>
          <w:marTop w:val="144"/>
          <w:marBottom w:val="0"/>
          <w:divBdr>
            <w:top w:val="none" w:sz="0" w:space="0" w:color="auto"/>
            <w:left w:val="none" w:sz="0" w:space="0" w:color="auto"/>
            <w:bottom w:val="none" w:sz="0" w:space="0" w:color="auto"/>
            <w:right w:val="none" w:sz="0" w:space="0" w:color="auto"/>
          </w:divBdr>
        </w:div>
      </w:divsChild>
    </w:div>
    <w:div w:id="1741369525">
      <w:marLeft w:val="0"/>
      <w:marRight w:val="0"/>
      <w:marTop w:val="0"/>
      <w:marBottom w:val="0"/>
      <w:divBdr>
        <w:top w:val="none" w:sz="0" w:space="0" w:color="auto"/>
        <w:left w:val="none" w:sz="0" w:space="0" w:color="auto"/>
        <w:bottom w:val="none" w:sz="0" w:space="0" w:color="auto"/>
        <w:right w:val="none" w:sz="0" w:space="0" w:color="auto"/>
      </w:divBdr>
    </w:div>
    <w:div w:id="2025208370">
      <w:bodyDiv w:val="1"/>
      <w:marLeft w:val="0"/>
      <w:marRight w:val="0"/>
      <w:marTop w:val="0"/>
      <w:marBottom w:val="0"/>
      <w:divBdr>
        <w:top w:val="none" w:sz="0" w:space="0" w:color="auto"/>
        <w:left w:val="none" w:sz="0" w:space="0" w:color="auto"/>
        <w:bottom w:val="none" w:sz="0" w:space="0" w:color="auto"/>
        <w:right w:val="none" w:sz="0" w:space="0" w:color="auto"/>
      </w:divBdr>
      <w:divsChild>
        <w:div w:id="948782585">
          <w:marLeft w:val="0"/>
          <w:marRight w:val="0"/>
          <w:marTop w:val="0"/>
          <w:marBottom w:val="0"/>
          <w:divBdr>
            <w:top w:val="none" w:sz="0" w:space="0" w:color="auto"/>
            <w:left w:val="none" w:sz="0" w:space="0" w:color="auto"/>
            <w:bottom w:val="none" w:sz="0" w:space="0" w:color="auto"/>
            <w:right w:val="none" w:sz="0" w:space="0" w:color="auto"/>
          </w:divBdr>
          <w:divsChild>
            <w:div w:id="73551519">
              <w:marLeft w:val="0"/>
              <w:marRight w:val="0"/>
              <w:marTop w:val="0"/>
              <w:marBottom w:val="0"/>
              <w:divBdr>
                <w:top w:val="none" w:sz="0" w:space="0" w:color="auto"/>
                <w:left w:val="none" w:sz="0" w:space="0" w:color="auto"/>
                <w:bottom w:val="none" w:sz="0" w:space="0" w:color="auto"/>
                <w:right w:val="none" w:sz="0" w:space="0" w:color="auto"/>
              </w:divBdr>
              <w:divsChild>
                <w:div w:id="190608155">
                  <w:marLeft w:val="0"/>
                  <w:marRight w:val="0"/>
                  <w:marTop w:val="0"/>
                  <w:marBottom w:val="0"/>
                  <w:divBdr>
                    <w:top w:val="none" w:sz="0" w:space="0" w:color="auto"/>
                    <w:left w:val="none" w:sz="0" w:space="0" w:color="auto"/>
                    <w:bottom w:val="none" w:sz="0" w:space="0" w:color="auto"/>
                    <w:right w:val="none" w:sz="0" w:space="0" w:color="auto"/>
                  </w:divBdr>
                  <w:divsChild>
                    <w:div w:id="10272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oogle.com/url?sa=t&amp;rct=j&amp;q=&amp;esrc=s&amp;source=web&amp;cd=&amp;cad=rja&amp;uact=8&amp;ved=2ahUKEwjR_bS4i9L1AhVeQEEAHQEMAEUQFnoECAwQAQ&amp;url=https%3A%2F%2Fwww.england.nhs.uk%2Fpublication%2Fchildrens-epilepsy-surgery-service-cess%2F&amp;usg=AOvVaw1tqd9UaQ0jd1Re8gFeNAqe" TargetMode="External"/><Relationship Id="rId2" Type="http://schemas.openxmlformats.org/officeDocument/2006/relationships/styles" Target="styles.xml"/><Relationship Id="rId16" Type="http://schemas.openxmlformats.org/officeDocument/2006/relationships/hyperlink" Target="file:///C:\Users\binamukhtyar\Desktop\Brain%20tumour%20referral%20pathway\Paediatric-Oncology-and-Haematology_-Supportive-Care-Guidelines-AngCN-SSG-P9.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media.gosh.nhs.uk/documents/CESS_Referral_Guidelines_Final_01_08_13.pdf" TargetMode="Externa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onedrive.live.com/view.aspx?resid=56C1AAA107E5FEF9!4060&amp;ithint=file%2cdocx&amp;authkey=!AA2HgAKTUKAj76Q"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SUDEP prevention action – EPEN Guidelines for professionals</vt:lpstr>
    </vt:vector>
  </TitlesOfParts>
  <Company>Hewlett-Packard</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SUDEP prevention action – EPEN Guidelines for professionals</dc:title>
  <dc:subject/>
  <dc:creator>tekisrinivas39@gmail.com</dc:creator>
  <cp:keywords/>
  <dc:description/>
  <cp:lastModifiedBy>Mukhtyar, Bina (NNUHFT)</cp:lastModifiedBy>
  <cp:revision>3</cp:revision>
  <cp:lastPrinted>2017-05-25T07:30:00Z</cp:lastPrinted>
  <dcterms:created xsi:type="dcterms:W3CDTF">2022-06-07T09:27:00Z</dcterms:created>
  <dcterms:modified xsi:type="dcterms:W3CDTF">2022-08-24T06:11:00Z</dcterms:modified>
</cp:coreProperties>
</file>