
<file path=[Content_Types].xml><?xml version="1.0" encoding="utf-8"?>
<Types xmlns="http://schemas.openxmlformats.org/package/2006/content-types">
  <Default Extension="png" ContentType="image/png"/>
  <Default Extension="jpeg" ContentType="image/jpeg"/>
  <Default Extension="JPG" ContentType="image/.jp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rPr>
          <w:rFonts w:ascii="Arial" w:hAnsi="Arial" w:cs="Arial"/>
          <w:b/>
          <w:sz w:val="24"/>
          <w:szCs w:val="24"/>
        </w:rPr>
      </w:pPr>
    </w:p>
    <w:p>
      <w:pPr>
        <w:spacing w:after="0" w:line="240" w:lineRule="auto"/>
        <w:rPr>
          <w:rFonts w:ascii="Arial" w:hAnsi="Arial" w:cs="Arial"/>
          <w:b/>
          <w:sz w:val="24"/>
          <w:szCs w:val="24"/>
        </w:rPr>
      </w:pPr>
    </w:p>
    <w:p>
      <w:pPr>
        <w:spacing w:after="0" w:line="240" w:lineRule="auto"/>
        <w:rPr>
          <w:rFonts w:ascii="Arial" w:hAnsi="Arial" w:cs="Arial"/>
          <w:b/>
          <w:sz w:val="24"/>
          <w:szCs w:val="24"/>
        </w:rPr>
      </w:pPr>
      <w:r>
        <w:rPr>
          <w:rFonts w:ascii="Arial" w:hAnsi="Arial" w:cs="Arial"/>
          <w:b/>
          <w:sz w:val="24"/>
          <w:szCs w:val="24"/>
        </w:rPr>
        <w:t xml:space="preserve">ANNUAL REVIEW OF CHILDREN WITH NEUROFIBROMATOSIS TYPE 1 (NF1). </w:t>
      </w:r>
    </w:p>
    <w:p>
      <w:pPr>
        <w:spacing w:after="0" w:line="240" w:lineRule="auto"/>
        <w:rPr>
          <w:rFonts w:ascii="Arial" w:hAnsi="Arial" w:cs="Arial"/>
          <w:b/>
          <w:sz w:val="24"/>
          <w:szCs w:val="24"/>
        </w:rPr>
      </w:pPr>
    </w:p>
    <w:p>
      <w:pPr>
        <w:jc w:val="center"/>
        <w:rPr>
          <w:rFonts w:ascii="Arial" w:hAnsi="Arial" w:cs="Arial"/>
          <w:sz w:val="24"/>
          <w:szCs w:val="24"/>
          <w:lang w:val="en-GB"/>
        </w:rPr>
      </w:pPr>
      <w:r>
        <w:rPr>
          <w:rFonts w:ascii="Arial" w:hAnsi="Arial" w:cs="Arial"/>
          <w:sz w:val="24"/>
          <w:szCs w:val="24"/>
          <w:lang w:val="en-GB"/>
        </w:rPr>
        <w:t>Wael Elsayed and Alasdair Parker</w:t>
      </w:r>
    </w:p>
    <w:p>
      <w:pPr>
        <w:jc w:val="center"/>
        <w:rPr>
          <w:rFonts w:hint="default" w:ascii="Arial" w:hAnsi="Arial" w:cs="Arial"/>
          <w:sz w:val="18"/>
          <w:szCs w:val="18"/>
          <w:lang w:val="en-US"/>
        </w:rPr>
      </w:pPr>
      <w:bookmarkStart w:id="2" w:name="_GoBack"/>
      <w:bookmarkEnd w:id="2"/>
      <w:r>
        <w:rPr>
          <w:rFonts w:hint="default" w:ascii="Arial" w:hAnsi="Arial" w:cs="Arial"/>
          <w:sz w:val="18"/>
          <w:szCs w:val="18"/>
          <w:lang w:val="en-US"/>
        </w:rPr>
        <w:t>Approved by EPEN in February 2023</w:t>
      </w:r>
    </w:p>
    <w:p>
      <w:pPr>
        <w:pStyle w:val="21"/>
        <w:ind w:left="0"/>
        <w:jc w:val="both"/>
        <w:outlineLvl w:val="0"/>
        <w:rPr>
          <w:rFonts w:ascii="Arial" w:hAnsi="Arial" w:cs="Arial"/>
          <w:b/>
          <w:sz w:val="24"/>
          <w:szCs w:val="24"/>
        </w:rPr>
      </w:pPr>
    </w:p>
    <w:p>
      <w:pPr>
        <w:pStyle w:val="21"/>
        <w:spacing w:line="240" w:lineRule="auto"/>
        <w:ind w:left="0"/>
        <w:jc w:val="both"/>
        <w:outlineLvl w:val="0"/>
        <w:rPr>
          <w:rFonts w:ascii="Arial" w:hAnsi="Arial" w:cs="Arial"/>
          <w:b/>
          <w:sz w:val="24"/>
          <w:szCs w:val="24"/>
        </w:rPr>
      </w:pPr>
      <w:r>
        <w:rPr>
          <w:rFonts w:ascii="Arial" w:hAnsi="Arial" w:cs="Arial"/>
          <w:b/>
          <w:sz w:val="24"/>
          <w:szCs w:val="24"/>
        </w:rPr>
        <w:t>Aim</w:t>
      </w:r>
    </w:p>
    <w:p>
      <w:pPr>
        <w:spacing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 xml:space="preserve">NF1, previously known as Von Recklinghausen Disease, is an inherited autosomal dominant, disorder affecting about 1 in 3000 children [1]. While it is primarily a neurocutaneous disorder its effects are wide ranging and other organs can be affected. There are a number of possible complications, and the pattern of the disease varies greatly between individuals; despite this variation there are certain key common features that make clinical diagnosis possible. </w:t>
      </w:r>
    </w:p>
    <w:p>
      <w:pPr>
        <w:spacing w:line="240" w:lineRule="auto"/>
        <w:jc w:val="both"/>
        <w:rPr>
          <w:rFonts w:ascii="Arial" w:hAnsi="Arial" w:cs="Arial"/>
          <w:sz w:val="24"/>
          <w:szCs w:val="24"/>
        </w:rPr>
      </w:pPr>
      <w:r>
        <w:rPr>
          <w:rFonts w:ascii="Arial" w:hAnsi="Arial" w:cs="Arial"/>
          <w:sz w:val="24"/>
          <w:szCs w:val="24"/>
        </w:rPr>
        <w:t xml:space="preserve">          NF1 is distinct from NF2, which is characterised by bilateral acoustic neuromas (vestibular schwannomas), and other tumours of the peripheral and central nervous system, mononeuropathies and cataracts. It is beyond the scope of this article to cover NF2, the incidence of which is more than 10 times lower than that of NF1[2]. </w:t>
      </w:r>
    </w:p>
    <w:p>
      <w:pPr>
        <w:spacing w:line="240" w:lineRule="auto"/>
        <w:ind w:firstLine="720"/>
        <w:jc w:val="both"/>
        <w:rPr>
          <w:rFonts w:ascii="Arial" w:hAnsi="Arial" w:cs="Arial"/>
          <w:sz w:val="24"/>
          <w:szCs w:val="24"/>
        </w:rPr>
      </w:pPr>
      <w:r>
        <w:rPr>
          <w:rFonts w:ascii="Arial" w:hAnsi="Arial" w:cs="Arial"/>
          <w:sz w:val="24"/>
          <w:szCs w:val="24"/>
        </w:rPr>
        <w:t>Annual surveillance of children with NF1 is recommended to monitor for potential medical complications that may arise as well as supporting neurodevelopment as it’s one of the more common genetic disorders and most paediatricians will see in secondary care</w:t>
      </w:r>
    </w:p>
    <w:p>
      <w:pPr>
        <w:spacing w:after="0" w:line="240" w:lineRule="auto"/>
        <w:rPr>
          <w:rFonts w:ascii="Times New Roman" w:hAnsi="Times New Roman" w:eastAsia="SimSun"/>
          <w:sz w:val="24"/>
          <w:szCs w:val="24"/>
          <w:lang w:val="en-GB" w:eastAsia="en-GB"/>
        </w:rPr>
      </w:pPr>
      <w:r>
        <w:rPr>
          <w:rFonts w:ascii="Arial" w:hAnsi="Arial" w:cs="Arial"/>
          <w:sz w:val="24"/>
          <w:szCs w:val="24"/>
        </w:rPr>
        <w:t>There is a nationally commissioned service for children and adults with complex NF1 with centres in London (Guys and St Thomas’ Hospital) and Manchester</w:t>
      </w:r>
      <w:r>
        <w:rPr>
          <w:rFonts w:ascii="Times New Roman" w:hAnsi="Times New Roman" w:eastAsia="SimSun"/>
          <w:sz w:val="24"/>
          <w:szCs w:val="24"/>
          <w:lang w:val="en-GB" w:eastAsia="en-GB"/>
        </w:rPr>
        <w:t>.</w:t>
      </w:r>
    </w:p>
    <w:p>
      <w:pPr>
        <w:spacing w:after="0" w:line="240" w:lineRule="auto"/>
        <w:rPr>
          <w:rFonts w:ascii="Times New Roman" w:hAnsi="Times New Roman" w:eastAsia="SimSun"/>
          <w:sz w:val="24"/>
          <w:szCs w:val="24"/>
          <w:lang w:val="en-GB" w:eastAsia="en-GB"/>
        </w:rPr>
      </w:pPr>
    </w:p>
    <w:p>
      <w:pPr>
        <w:spacing w:line="240" w:lineRule="auto"/>
        <w:ind w:firstLine="720"/>
        <w:jc w:val="both"/>
        <w:rPr>
          <w:rFonts w:ascii="Arial" w:hAnsi="Arial" w:cs="Arial"/>
          <w:sz w:val="24"/>
          <w:szCs w:val="24"/>
        </w:rPr>
      </w:pPr>
      <w:r>
        <w:rPr>
          <w:rFonts w:ascii="Arial" w:hAnsi="Arial" w:cs="Arial"/>
          <w:sz w:val="24"/>
          <w:szCs w:val="24"/>
        </w:rPr>
        <w:t xml:space="preserve">. </w:t>
      </w:r>
    </w:p>
    <w:p>
      <w:pPr>
        <w:spacing w:line="240" w:lineRule="auto"/>
        <w:ind w:firstLine="720"/>
        <w:jc w:val="both"/>
        <w:outlineLvl w:val="0"/>
        <w:rPr>
          <w:rFonts w:ascii="Arial" w:hAnsi="Arial" w:cs="Arial"/>
          <w:sz w:val="24"/>
          <w:szCs w:val="24"/>
        </w:rPr>
      </w:pPr>
      <w:r>
        <w:rPr>
          <w:rFonts w:ascii="Arial" w:hAnsi="Arial" w:cs="Arial"/>
          <w:sz w:val="24"/>
          <w:szCs w:val="24"/>
        </w:rPr>
        <w:t xml:space="preserve">We provide a concise, evidence-based framework to assist secondary level, community and acute paediatricians during a 20 to 60 - minute consultation. This review does not cover all aspects of the disorder. We recognise the importance of an overview of the pathogenesis, molecular genetic testing, clinical manifestations and management; we shall cover some of this briefly but recommend further reading of other excellent recent reviews which focus on these areas. We focus instead on the following questions: </w:t>
      </w:r>
    </w:p>
    <w:p>
      <w:pPr>
        <w:pStyle w:val="26"/>
        <w:numPr>
          <w:ilvl w:val="0"/>
          <w:numId w:val="1"/>
        </w:numPr>
        <w:spacing w:line="240" w:lineRule="auto"/>
        <w:jc w:val="both"/>
        <w:outlineLvl w:val="0"/>
        <w:rPr>
          <w:rFonts w:ascii="Arial" w:hAnsi="Arial" w:cs="Arial"/>
          <w:sz w:val="24"/>
          <w:szCs w:val="24"/>
        </w:rPr>
      </w:pPr>
      <w:r>
        <w:rPr>
          <w:rFonts w:ascii="Arial" w:hAnsi="Arial" w:cs="Arial"/>
          <w:sz w:val="24"/>
          <w:szCs w:val="24"/>
        </w:rPr>
        <w:t>what questions should be asked during annual review</w:t>
      </w:r>
    </w:p>
    <w:p>
      <w:pPr>
        <w:pStyle w:val="26"/>
        <w:numPr>
          <w:ilvl w:val="0"/>
          <w:numId w:val="1"/>
        </w:numPr>
        <w:spacing w:line="240" w:lineRule="auto"/>
        <w:jc w:val="both"/>
        <w:outlineLvl w:val="0"/>
        <w:rPr>
          <w:rFonts w:ascii="Arial" w:hAnsi="Arial" w:cs="Arial"/>
          <w:sz w:val="24"/>
          <w:szCs w:val="24"/>
        </w:rPr>
      </w:pPr>
      <w:r>
        <w:rPr>
          <w:rFonts w:ascii="Arial" w:hAnsi="Arial" w:cs="Arial"/>
          <w:sz w:val="24"/>
          <w:szCs w:val="24"/>
        </w:rPr>
        <w:t xml:space="preserve">what should be included in a focused examination, </w:t>
      </w:r>
    </w:p>
    <w:p>
      <w:pPr>
        <w:pStyle w:val="26"/>
        <w:numPr>
          <w:ilvl w:val="0"/>
          <w:numId w:val="1"/>
        </w:numPr>
        <w:spacing w:line="240" w:lineRule="auto"/>
        <w:jc w:val="both"/>
        <w:outlineLvl w:val="0"/>
        <w:rPr>
          <w:rFonts w:ascii="Arial" w:hAnsi="Arial" w:cs="Arial"/>
          <w:sz w:val="24"/>
          <w:szCs w:val="24"/>
        </w:rPr>
      </w:pPr>
      <w:r>
        <w:rPr>
          <w:rFonts w:ascii="Arial" w:hAnsi="Arial" w:cs="Arial"/>
          <w:sz w:val="24"/>
          <w:szCs w:val="24"/>
        </w:rPr>
        <w:t>when should further investigations be requested</w:t>
      </w:r>
    </w:p>
    <w:p>
      <w:pPr>
        <w:pStyle w:val="26"/>
        <w:numPr>
          <w:ilvl w:val="0"/>
          <w:numId w:val="1"/>
        </w:numPr>
        <w:spacing w:line="240" w:lineRule="auto"/>
        <w:jc w:val="both"/>
        <w:outlineLvl w:val="0"/>
        <w:rPr>
          <w:rFonts w:ascii="Arial" w:hAnsi="Arial" w:cs="Arial"/>
          <w:sz w:val="24"/>
          <w:szCs w:val="24"/>
        </w:rPr>
      </w:pPr>
      <w:r>
        <w:rPr>
          <w:rFonts w:ascii="Arial" w:hAnsi="Arial" w:cs="Arial"/>
          <w:sz w:val="24"/>
          <w:szCs w:val="24"/>
        </w:rPr>
        <w:t>when should a referral be made to the national complex NF1 services (London and Manchester), tertiary specialists and other members of the multidisciplinary team.</w:t>
      </w:r>
    </w:p>
    <w:p>
      <w:pPr>
        <w:spacing w:line="240" w:lineRule="auto"/>
        <w:jc w:val="both"/>
        <w:outlineLvl w:val="0"/>
        <w:rPr>
          <w:rFonts w:ascii="Arial" w:hAnsi="Arial" w:cs="Arial"/>
          <w:sz w:val="24"/>
          <w:szCs w:val="24"/>
        </w:rPr>
      </w:pPr>
    </w:p>
    <w:p>
      <w:pPr>
        <w:spacing w:line="240" w:lineRule="auto"/>
        <w:jc w:val="both"/>
        <w:outlineLvl w:val="0"/>
        <w:rPr>
          <w:rFonts w:ascii="Arial" w:hAnsi="Arial" w:cs="Arial"/>
          <w:b/>
          <w:sz w:val="24"/>
          <w:szCs w:val="24"/>
        </w:rPr>
      </w:pPr>
    </w:p>
    <w:p>
      <w:pPr>
        <w:spacing w:line="240" w:lineRule="auto"/>
        <w:jc w:val="both"/>
        <w:outlineLvl w:val="0"/>
        <w:rPr>
          <w:rFonts w:ascii="Arial" w:hAnsi="Arial" w:cs="Arial"/>
          <w:b/>
          <w:sz w:val="24"/>
          <w:szCs w:val="24"/>
        </w:rPr>
      </w:pPr>
      <w:r>
        <w:rPr>
          <w:rFonts w:ascii="Arial" w:hAnsi="Arial" w:cs="Arial"/>
          <w:b/>
          <w:sz w:val="24"/>
          <w:szCs w:val="24"/>
        </w:rPr>
        <w:t xml:space="preserve">Genetics </w:t>
      </w:r>
    </w:p>
    <w:p>
      <w:pPr>
        <w:pStyle w:val="8"/>
        <w:numPr>
          <w:ilvl w:val="0"/>
          <w:numId w:val="2"/>
        </w:numPr>
        <w:spacing w:before="100" w:beforeAutospacing="1" w:line="273" w:lineRule="auto"/>
        <w:rPr>
          <w:rFonts w:ascii="Arial" w:hAnsi="Arial" w:cs="Arial"/>
          <w:sz w:val="24"/>
          <w:szCs w:val="24"/>
        </w:rPr>
      </w:pPr>
      <w:r>
        <w:rPr>
          <w:rFonts w:ascii="Arial" w:hAnsi="Arial" w:cs="Arial"/>
          <w:sz w:val="24"/>
          <w:szCs w:val="24"/>
        </w:rPr>
        <w:t xml:space="preserve">NF1 is caused by a disease-causing variant in the NF1 gene, which encodes the tumour suppressor, neurofibromin, a GTPase-activating protein. This down regulates the phosphatidylinositol 3-kinase (PI3K)/AKT/mammalian target of rapamycin (mTOR) and the Raf/mitogen-activated and extracellular signal-regulated kinase kinase (MEK)/extracellular signal-regulated kinase (ERK) signaling pathways. Hyperactivation of these pathways results in oncogenesis [3]. NF1 is an autosomal disorder, but 50% of cases are secondary to de novo variants. There is considerable phenotypic variability even within families harboring the same genetic mutation, although there are a few exceptions [4]. </w:t>
      </w:r>
    </w:p>
    <w:p>
      <w:pPr>
        <w:rPr>
          <w:rFonts w:eastAsia="Times New Roman"/>
          <w:lang w:val="en-GB" w:eastAsia="en-GB"/>
        </w:rPr>
      </w:pPr>
    </w:p>
    <w:p>
      <w:pPr>
        <w:spacing w:line="240" w:lineRule="auto"/>
        <w:ind w:firstLine="720"/>
        <w:jc w:val="both"/>
        <w:rPr>
          <w:rFonts w:ascii="Arial" w:hAnsi="Arial" w:cs="Arial"/>
          <w:sz w:val="24"/>
          <w:szCs w:val="24"/>
        </w:rPr>
      </w:pPr>
    </w:p>
    <w:p>
      <w:pPr>
        <w:pStyle w:val="21"/>
        <w:spacing w:line="240" w:lineRule="auto"/>
        <w:ind w:left="0"/>
        <w:jc w:val="both"/>
        <w:outlineLvl w:val="0"/>
        <w:rPr>
          <w:rFonts w:ascii="Arial" w:hAnsi="Arial" w:cs="Arial"/>
          <w:b/>
          <w:sz w:val="24"/>
          <w:szCs w:val="24"/>
        </w:rPr>
      </w:pPr>
      <w:r>
        <w:rPr>
          <w:rFonts w:ascii="Arial" w:hAnsi="Arial" w:cs="Arial"/>
          <w:b/>
          <w:sz w:val="24"/>
          <w:szCs w:val="24"/>
        </w:rPr>
        <w:t>Confirming the Diagnosis</w:t>
      </w:r>
    </w:p>
    <w:p>
      <w:pPr>
        <w:rPr>
          <w:rFonts w:ascii="Arial" w:hAnsi="Arial" w:cs="Arial"/>
          <w:sz w:val="24"/>
          <w:szCs w:val="24"/>
        </w:rPr>
      </w:pPr>
      <w:r>
        <w:rPr>
          <w:rFonts w:ascii="Arial" w:hAnsi="Arial" w:cs="Arial"/>
          <w:sz w:val="24"/>
          <w:szCs w:val="24"/>
        </w:rPr>
        <w:t>The diagnostic criteria for NF1 were developed by the National Institute of Health (NIH) in 1987 and have been used largely since then [5]. These criteria were revised by international consensus and were updated in 2021 to help differentiate NF1 from other conditions with overlapping findings and to aid in the diagnosis early in young children who present with isolated Café au lait macules (CALMs), but no other criteria (table 1). The main modifications are adding a positive genetic test for the disease variant and identifying two or more choroidal abnormalities as new criteria for the diagnosis. It also restricted the family history as one of the diagnostic criteria to only a parent with NF1[6].</w:t>
      </w: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spacing w:line="240" w:lineRule="auto"/>
        <w:outlineLvl w:val="0"/>
        <w:rPr>
          <w:rFonts w:ascii="Arial" w:hAnsi="Arial" w:cs="Arial"/>
          <w:b/>
          <w:bCs/>
          <w:sz w:val="24"/>
          <w:szCs w:val="24"/>
        </w:rPr>
      </w:pPr>
    </w:p>
    <w:p>
      <w:pPr>
        <w:jc w:val="center"/>
        <w:rPr>
          <w:rFonts w:ascii="Arial" w:hAnsi="Arial" w:cs="Arial"/>
          <w:b/>
          <w:bCs/>
          <w:sz w:val="24"/>
          <w:szCs w:val="24"/>
          <w:lang w:val="en-GB"/>
        </w:rPr>
      </w:pPr>
      <w:r>
        <w:rPr>
          <w:rFonts w:ascii="Arial" w:hAnsi="Arial" w:cs="Arial"/>
          <w:b/>
          <w:bCs/>
          <w:sz w:val="24"/>
          <w:szCs w:val="24"/>
        </w:rPr>
        <w:t xml:space="preserve">Table </w:t>
      </w:r>
      <w:r>
        <w:rPr>
          <w:rFonts w:ascii="Arial" w:hAnsi="Arial" w:cs="Arial"/>
          <w:b/>
          <w:bCs/>
          <w:sz w:val="24"/>
          <w:szCs w:val="24"/>
          <w:lang w:val="en-GB"/>
        </w:rPr>
        <w:t>1</w:t>
      </w:r>
      <w:r>
        <w:rPr>
          <w:rFonts w:ascii="Arial" w:hAnsi="Arial" w:cs="Arial"/>
          <w:b/>
          <w:bCs/>
          <w:sz w:val="24"/>
          <w:szCs w:val="24"/>
        </w:rPr>
        <w:t xml:space="preserve">: </w:t>
      </w:r>
      <w:r>
        <w:rPr>
          <w:rFonts w:ascii="Arial" w:hAnsi="Arial" w:cs="Arial"/>
          <w:b/>
          <w:bCs/>
          <w:sz w:val="24"/>
          <w:szCs w:val="24"/>
          <w:lang w:val="en-GB"/>
        </w:rPr>
        <w:t xml:space="preserve"> Revised Diagnostic</w:t>
      </w:r>
      <w:r>
        <w:rPr>
          <w:rFonts w:ascii="Arial" w:hAnsi="Arial" w:cs="Arial"/>
          <w:b/>
          <w:bCs/>
          <w:sz w:val="24"/>
          <w:szCs w:val="24"/>
        </w:rPr>
        <w:t xml:space="preserve"> Criteria for Neurofibromatosis Type 1</w:t>
      </w:r>
      <w:r>
        <w:rPr>
          <w:rFonts w:ascii="Arial" w:hAnsi="Arial" w:cs="Arial"/>
          <w:b/>
          <w:bCs/>
          <w:sz w:val="24"/>
          <w:szCs w:val="24"/>
          <w:lang w:val="en-GB"/>
        </w:rPr>
        <w:t xml:space="preserve"> </w:t>
      </w:r>
    </w:p>
    <w:p>
      <w:pPr>
        <w:jc w:val="center"/>
        <w:rPr>
          <w:rFonts w:ascii="Arial" w:hAnsi="Arial" w:cs="Arial"/>
          <w:color w:val="FF0000"/>
          <w:sz w:val="24"/>
          <w:szCs w:val="24"/>
          <w:lang w:val="en-GB"/>
        </w:rPr>
      </w:pPr>
    </w:p>
    <w:p>
      <w:pPr>
        <w:spacing w:line="240" w:lineRule="auto"/>
        <w:ind w:firstLine="720"/>
        <w:jc w:val="both"/>
        <w:rPr>
          <w:rFonts w:ascii="Arial" w:hAnsi="Arial" w:cs="Arial"/>
          <w:sz w:val="24"/>
          <w:szCs w:val="24"/>
        </w:rPr>
      </w:pPr>
      <w:r>
        <w:rPr>
          <w:rFonts w:ascii="Arial" w:hAnsi="Arial" w:cs="Arial"/>
          <w:sz w:val="24"/>
          <w:szCs w:val="24"/>
        </w:rPr>
        <w:t>A diagnosis can be made when a child has two or more of the following criteria:</w:t>
      </w:r>
    </w:p>
    <w:tbl>
      <w:tblPr>
        <w:tblStyle w:val="5"/>
        <w:tblW w:w="10293"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autofit"/>
        <w:tblCellMar>
          <w:top w:w="0" w:type="dxa"/>
          <w:left w:w="108" w:type="dxa"/>
          <w:bottom w:w="0" w:type="dxa"/>
          <w:right w:w="108" w:type="dxa"/>
        </w:tblCellMar>
      </w:tblPr>
      <w:tblGrid>
        <w:gridCol w:w="1976"/>
        <w:gridCol w:w="2490"/>
        <w:gridCol w:w="1291"/>
        <w:gridCol w:w="2289"/>
        <w:gridCol w:w="2247"/>
      </w:tblGrid>
      <w:tr>
        <w:trPr>
          <w:trHeight w:val="579" w:hRule="atLeast"/>
          <w:jc w:val="center"/>
        </w:trPr>
        <w:tc>
          <w:tcPr>
            <w:tcW w:w="1704" w:type="dxa"/>
            <w:shd w:val="clear" w:color="auto" w:fill="0070C0"/>
            <w:vAlign w:val="center"/>
          </w:tcPr>
          <w:p>
            <w:pPr>
              <w:spacing w:after="0" w:line="240" w:lineRule="auto"/>
              <w:jc w:val="center"/>
              <w:rPr>
                <w:rFonts w:ascii="Arial" w:hAnsi="Arial" w:cs="Arial"/>
                <w:b/>
                <w:bCs/>
                <w:color w:val="FFFFFF"/>
                <w:sz w:val="24"/>
                <w:szCs w:val="24"/>
              </w:rPr>
            </w:pPr>
            <w:r>
              <w:rPr>
                <w:rFonts w:ascii="Arial" w:hAnsi="Arial" w:cs="Arial"/>
                <w:b/>
                <w:bCs/>
                <w:color w:val="FFFFFF"/>
                <w:sz w:val="24"/>
                <w:szCs w:val="24"/>
              </w:rPr>
              <w:t>System</w:t>
            </w:r>
          </w:p>
        </w:tc>
        <w:tc>
          <w:tcPr>
            <w:tcW w:w="2593" w:type="dxa"/>
            <w:shd w:val="clear" w:color="auto" w:fill="0070C0"/>
            <w:vAlign w:val="center"/>
          </w:tcPr>
          <w:p>
            <w:pPr>
              <w:spacing w:after="0" w:line="240" w:lineRule="auto"/>
              <w:jc w:val="center"/>
              <w:rPr>
                <w:rFonts w:ascii="Arial" w:hAnsi="Arial" w:cs="Arial"/>
                <w:b/>
                <w:sz w:val="24"/>
                <w:szCs w:val="24"/>
              </w:rPr>
            </w:pPr>
            <w:r>
              <w:rPr>
                <w:rFonts w:ascii="Arial" w:hAnsi="Arial" w:cs="Arial"/>
                <w:b/>
                <w:sz w:val="24"/>
                <w:szCs w:val="24"/>
              </w:rPr>
              <w:t>Features</w:t>
            </w:r>
          </w:p>
        </w:tc>
        <w:tc>
          <w:tcPr>
            <w:tcW w:w="1294" w:type="dxa"/>
            <w:tcBorders>
              <w:right w:val="thinThickSmallGap" w:color="auto" w:sz="24" w:space="0"/>
            </w:tcBorders>
            <w:shd w:val="clear" w:color="auto" w:fill="0070C0"/>
          </w:tcPr>
          <w:p>
            <w:pPr>
              <w:spacing w:after="0" w:line="240" w:lineRule="auto"/>
              <w:jc w:val="center"/>
              <w:rPr>
                <w:rFonts w:ascii="Arial" w:hAnsi="Arial" w:cs="Arial"/>
                <w:b/>
                <w:sz w:val="24"/>
                <w:szCs w:val="24"/>
              </w:rPr>
            </w:pPr>
            <w:r>
              <w:rPr>
                <w:rFonts w:ascii="Arial" w:hAnsi="Arial" w:cs="Arial"/>
                <w:b/>
                <w:sz w:val="24"/>
                <w:szCs w:val="24"/>
              </w:rPr>
              <w:t>Minimum number</w:t>
            </w:r>
          </w:p>
        </w:tc>
        <w:tc>
          <w:tcPr>
            <w:tcW w:w="2351" w:type="dxa"/>
            <w:tcBorders>
              <w:left w:val="thinThickSmallGap" w:color="auto" w:sz="24" w:space="0"/>
            </w:tcBorders>
            <w:shd w:val="clear" w:color="auto" w:fill="0070C0"/>
            <w:vAlign w:val="center"/>
          </w:tcPr>
          <w:p>
            <w:pPr>
              <w:spacing w:after="0" w:line="240" w:lineRule="auto"/>
              <w:jc w:val="center"/>
              <w:rPr>
                <w:rFonts w:ascii="Arial" w:hAnsi="Arial" w:cs="Arial"/>
                <w:b/>
                <w:sz w:val="24"/>
                <w:szCs w:val="24"/>
              </w:rPr>
            </w:pPr>
            <w:r>
              <w:rPr>
                <w:rFonts w:ascii="Arial" w:hAnsi="Arial" w:cs="Arial"/>
                <w:b/>
                <w:sz w:val="24"/>
                <w:szCs w:val="24"/>
              </w:rPr>
              <w:t>Further details</w:t>
            </w:r>
          </w:p>
        </w:tc>
        <w:tc>
          <w:tcPr>
            <w:tcW w:w="2351" w:type="dxa"/>
            <w:tcBorders>
              <w:left w:val="single" w:color="auto" w:sz="36" w:space="0"/>
            </w:tcBorders>
            <w:shd w:val="clear" w:color="auto" w:fill="0070C0"/>
            <w:vAlign w:val="center"/>
          </w:tcPr>
          <w:p>
            <w:pPr>
              <w:spacing w:after="0" w:line="240" w:lineRule="auto"/>
              <w:jc w:val="center"/>
              <w:rPr>
                <w:rFonts w:ascii="Arial" w:hAnsi="Arial" w:cs="Arial"/>
                <w:b/>
                <w:sz w:val="24"/>
                <w:szCs w:val="24"/>
                <w:lang w:val="en-GB"/>
              </w:rPr>
            </w:pPr>
            <w:r>
              <w:rPr>
                <w:rFonts w:ascii="Arial" w:hAnsi="Arial" w:cs="Arial"/>
                <w:b/>
                <w:sz w:val="24"/>
                <w:szCs w:val="24"/>
                <w:lang w:val="en-GB"/>
              </w:rPr>
              <w:t>notes</w:t>
            </w:r>
          </w:p>
        </w:tc>
      </w:tr>
      <w:tr>
        <w:trPr>
          <w:trHeight w:val="865" w:hRule="atLeast"/>
          <w:jc w:val="center"/>
        </w:trPr>
        <w:tc>
          <w:tcPr>
            <w:tcW w:w="1704" w:type="dxa"/>
            <w:vMerge w:val="restart"/>
            <w:shd w:val="clear" w:color="auto" w:fill="548DD4" w:themeFill="text2" w:themeFillTint="99"/>
            <w:vAlign w:val="center"/>
          </w:tcPr>
          <w:p>
            <w:pPr>
              <w:spacing w:after="0" w:line="240" w:lineRule="auto"/>
              <w:rPr>
                <w:rFonts w:ascii="Arial" w:hAnsi="Arial" w:cs="Arial"/>
                <w:b/>
                <w:bCs/>
                <w:color w:val="FFFFFF"/>
                <w:sz w:val="24"/>
                <w:szCs w:val="24"/>
              </w:rPr>
            </w:pPr>
            <w:r>
              <w:rPr>
                <w:rFonts w:ascii="Arial" w:hAnsi="Arial" w:cs="Arial"/>
                <w:b/>
                <w:bCs/>
                <w:color w:val="FFFFFF"/>
                <w:sz w:val="24"/>
                <w:szCs w:val="24"/>
              </w:rPr>
              <w:t>Dermatology</w:t>
            </w:r>
          </w:p>
        </w:tc>
        <w:tc>
          <w:tcPr>
            <w:tcW w:w="2593" w:type="dxa"/>
            <w:vAlign w:val="center"/>
          </w:tcPr>
          <w:p>
            <w:pPr>
              <w:spacing w:after="0" w:line="240" w:lineRule="auto"/>
              <w:rPr>
                <w:rFonts w:ascii="Arial" w:hAnsi="Arial" w:cs="Arial"/>
                <w:color w:val="000000" w:themeColor="text1"/>
                <w:sz w:val="24"/>
                <w:szCs w:val="24"/>
              </w:rPr>
            </w:pPr>
            <w:r>
              <w:rPr>
                <w:rFonts w:ascii="Arial" w:hAnsi="Arial" w:cs="Arial"/>
                <w:color w:val="000000" w:themeColor="text1"/>
                <w:sz w:val="24"/>
                <w:szCs w:val="24"/>
              </w:rPr>
              <w:t>CALMs</w:t>
            </w:r>
          </w:p>
        </w:tc>
        <w:tc>
          <w:tcPr>
            <w:tcW w:w="1294" w:type="dxa"/>
            <w:tcBorders>
              <w:right w:val="thinThickSmallGap" w:color="auto" w:sz="24" w:space="0"/>
            </w:tcBorders>
            <w:vAlign w:val="center"/>
          </w:tcPr>
          <w:p>
            <w:pPr>
              <w:spacing w:after="0" w:line="240" w:lineRule="auto"/>
              <w:rPr>
                <w:rFonts w:ascii="Arial" w:hAnsi="Arial" w:eastAsia="MS Gothic" w:cs="Arial"/>
                <w:color w:val="000000" w:themeColor="text1"/>
                <w:sz w:val="24"/>
                <w:szCs w:val="24"/>
              </w:rPr>
            </w:pPr>
            <w:r>
              <w:rPr>
                <w:rFonts w:ascii="Arial" w:hAnsi="Arial" w:eastAsia="MS Gothic" w:cs="Arial"/>
                <w:color w:val="000000" w:themeColor="text1"/>
                <w:sz w:val="24"/>
                <w:szCs w:val="24"/>
              </w:rPr>
              <w:t>6</w:t>
            </w:r>
          </w:p>
        </w:tc>
        <w:tc>
          <w:tcPr>
            <w:tcW w:w="2351" w:type="dxa"/>
            <w:tcBorders>
              <w:left w:val="thinThickSmallGap" w:color="auto" w:sz="24" w:space="0"/>
            </w:tcBorders>
            <w:vAlign w:val="center"/>
          </w:tcPr>
          <w:p>
            <w:pPr>
              <w:spacing w:after="0" w:line="240" w:lineRule="auto"/>
              <w:rPr>
                <w:rFonts w:ascii="Arial" w:hAnsi="Arial" w:cs="Arial"/>
                <w:color w:val="000000" w:themeColor="text1"/>
                <w:sz w:val="24"/>
                <w:szCs w:val="24"/>
              </w:rPr>
            </w:pPr>
            <w:r>
              <w:rPr>
                <w:rFonts w:ascii="Arial" w:hAnsi="Arial" w:cs="Arial"/>
                <w:color w:val="000000" w:themeColor="text1"/>
                <w:sz w:val="24"/>
                <w:szCs w:val="24"/>
              </w:rPr>
              <w:t>Greatest diameter:</w:t>
            </w:r>
          </w:p>
          <w:p>
            <w:pPr>
              <w:spacing w:after="0" w:line="240" w:lineRule="auto"/>
              <w:rPr>
                <w:rFonts w:ascii="Arial" w:hAnsi="Arial" w:cs="Arial"/>
                <w:color w:val="000000" w:themeColor="text1"/>
                <w:sz w:val="24"/>
                <w:szCs w:val="24"/>
              </w:rPr>
            </w:pPr>
            <w:r>
              <w:rPr>
                <w:rFonts w:ascii="Arial" w:hAnsi="Arial" w:cs="Arial"/>
                <w:color w:val="000000" w:themeColor="text1"/>
                <w:sz w:val="24"/>
                <w:szCs w:val="24"/>
              </w:rPr>
              <w:t>&gt;5mm if pre-pubertal</w:t>
            </w:r>
          </w:p>
          <w:p>
            <w:pPr>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&gt;15mm if post-pubertal </w:t>
            </w:r>
          </w:p>
        </w:tc>
        <w:tc>
          <w:tcPr>
            <w:tcW w:w="2351" w:type="dxa"/>
            <w:vMerge w:val="restart"/>
            <w:tcBorders>
              <w:left w:val="single" w:color="auto" w:sz="36" w:space="0"/>
            </w:tcBorders>
            <w:vAlign w:val="center"/>
          </w:tcPr>
          <w:p>
            <w:pPr>
              <w:spacing w:after="0" w:line="240" w:lineRule="auto"/>
              <w:rPr>
                <w:rFonts w:ascii="Arial" w:hAnsi="Arial" w:cs="Arial"/>
                <w:color w:val="000000" w:themeColor="text1"/>
                <w:sz w:val="24"/>
                <w:szCs w:val="24"/>
                <w:lang w:val="en-GB"/>
              </w:rPr>
            </w:pPr>
            <w:r>
              <w:rPr>
                <w:rFonts w:ascii="Arial" w:hAnsi="Arial" w:cs="Arial"/>
                <w:color w:val="000000" w:themeColor="text1"/>
                <w:sz w:val="24"/>
                <w:szCs w:val="24"/>
                <w:lang w:val="en-GB"/>
              </w:rPr>
              <w:t>If no other criteria apart from pigmentary findings, consider  LGSS or mNF1</w:t>
            </w:r>
          </w:p>
        </w:tc>
      </w:tr>
      <w:tr>
        <w:trPr>
          <w:trHeight w:val="579" w:hRule="atLeast"/>
          <w:jc w:val="center"/>
        </w:trPr>
        <w:tc>
          <w:tcPr>
            <w:tcW w:w="1704" w:type="dxa"/>
            <w:vMerge w:val="continue"/>
            <w:shd w:val="clear" w:color="auto" w:fill="548DD4" w:themeFill="text2" w:themeFillTint="99"/>
            <w:vAlign w:val="center"/>
          </w:tcPr>
          <w:p>
            <w:pPr>
              <w:spacing w:after="0" w:line="240" w:lineRule="auto"/>
              <w:rPr>
                <w:rFonts w:ascii="Arial" w:hAnsi="Arial" w:cs="Arial"/>
                <w:b/>
                <w:bCs/>
                <w:color w:val="FFFFFF"/>
                <w:sz w:val="24"/>
                <w:szCs w:val="24"/>
              </w:rPr>
            </w:pPr>
          </w:p>
        </w:tc>
        <w:tc>
          <w:tcPr>
            <w:tcW w:w="2593" w:type="dxa"/>
            <w:shd w:val="clear" w:color="auto" w:fill="auto"/>
            <w:vAlign w:val="center"/>
          </w:tcPr>
          <w:p>
            <w:pPr>
              <w:spacing w:after="0" w:line="240" w:lineRule="auto"/>
              <w:rPr>
                <w:rFonts w:ascii="Arial" w:hAnsi="Arial" w:cs="Arial"/>
                <w:color w:val="000000" w:themeColor="text1"/>
                <w:sz w:val="24"/>
                <w:szCs w:val="24"/>
              </w:rPr>
            </w:pPr>
            <w:r>
              <w:rPr>
                <w:rFonts w:ascii="Arial" w:hAnsi="Arial" w:cs="Arial"/>
                <w:color w:val="000000" w:themeColor="text1"/>
                <w:sz w:val="24"/>
                <w:szCs w:val="24"/>
              </w:rPr>
              <w:t>Axillary/inguinal freckling</w:t>
            </w:r>
          </w:p>
        </w:tc>
        <w:tc>
          <w:tcPr>
            <w:tcW w:w="1294" w:type="dxa"/>
            <w:tcBorders>
              <w:right w:val="thinThickSmallGap" w:color="auto" w:sz="24" w:space="0"/>
            </w:tcBorders>
            <w:shd w:val="clear" w:color="auto" w:fill="auto"/>
            <w:vAlign w:val="center"/>
          </w:tcPr>
          <w:p>
            <w:pPr>
              <w:spacing w:after="0" w:line="240" w:lineRule="auto"/>
              <w:rPr>
                <w:rFonts w:ascii="Arial" w:hAnsi="Arial" w:cs="Arial"/>
                <w:color w:val="000000" w:themeColor="text1"/>
                <w:sz w:val="24"/>
                <w:szCs w:val="24"/>
              </w:rPr>
            </w:pPr>
            <w:r>
              <w:rPr>
                <w:rFonts w:ascii="Arial" w:hAnsi="Arial" w:eastAsia="MS Gothic" w:cs="Arial"/>
                <w:color w:val="000000" w:themeColor="text1"/>
                <w:sz w:val="24"/>
                <w:szCs w:val="24"/>
              </w:rPr>
              <w:t>n/a</w:t>
            </w:r>
          </w:p>
        </w:tc>
        <w:tc>
          <w:tcPr>
            <w:tcW w:w="2351" w:type="dxa"/>
            <w:tcBorders>
              <w:left w:val="thinThickSmallGap" w:color="auto" w:sz="24" w:space="0"/>
            </w:tcBorders>
            <w:shd w:val="clear" w:color="auto" w:fill="auto"/>
            <w:vAlign w:val="center"/>
          </w:tcPr>
          <w:p>
            <w:pPr>
              <w:spacing w:after="0" w:line="240" w:lineRule="auto"/>
              <w:rPr>
                <w:rFonts w:ascii="Arial" w:hAnsi="Arial" w:cs="Arial"/>
                <w:color w:val="000000" w:themeColor="text1"/>
                <w:sz w:val="24"/>
                <w:szCs w:val="24"/>
                <w:shd w:val="clear" w:color="FFFFFF" w:fill="D9D9D9"/>
              </w:rPr>
            </w:pPr>
          </w:p>
        </w:tc>
        <w:tc>
          <w:tcPr>
            <w:tcW w:w="2351" w:type="dxa"/>
            <w:vMerge w:val="continue"/>
            <w:tcBorders>
              <w:left w:val="single" w:color="auto" w:sz="36" w:space="0"/>
            </w:tcBorders>
            <w:shd w:val="clear" w:color="auto" w:fill="D8D8D8"/>
            <w:vAlign w:val="center"/>
          </w:tcPr>
          <w:p>
            <w:pPr>
              <w:spacing w:after="0" w:line="240" w:lineRule="auto"/>
              <w:rPr>
                <w:rFonts w:ascii="Arial" w:hAnsi="Arial" w:cs="Arial"/>
                <w:color w:val="000000" w:themeColor="text1"/>
                <w:sz w:val="24"/>
                <w:szCs w:val="24"/>
              </w:rPr>
            </w:pPr>
          </w:p>
        </w:tc>
      </w:tr>
      <w:tr>
        <w:trPr>
          <w:trHeight w:val="202" w:hRule="atLeast"/>
          <w:jc w:val="center"/>
        </w:trPr>
        <w:tc>
          <w:tcPr>
            <w:tcW w:w="1704" w:type="dxa"/>
            <w:vMerge w:val="restart"/>
            <w:shd w:val="clear" w:color="auto" w:fill="548DD4" w:themeFill="text2" w:themeFillTint="99"/>
            <w:vAlign w:val="center"/>
          </w:tcPr>
          <w:p>
            <w:pPr>
              <w:spacing w:after="0" w:line="240" w:lineRule="auto"/>
              <w:rPr>
                <w:rFonts w:ascii="Arial" w:hAnsi="Arial" w:cs="Arial"/>
                <w:b/>
                <w:bCs/>
                <w:color w:val="FFFFFF"/>
                <w:sz w:val="24"/>
                <w:szCs w:val="24"/>
              </w:rPr>
            </w:pPr>
            <w:r>
              <w:rPr>
                <w:rFonts w:ascii="Arial" w:hAnsi="Arial" w:cs="Arial"/>
                <w:b/>
                <w:bCs/>
                <w:color w:val="FFFFFF"/>
                <w:sz w:val="24"/>
                <w:szCs w:val="24"/>
              </w:rPr>
              <w:t>Ophthalmology</w:t>
            </w:r>
          </w:p>
        </w:tc>
        <w:tc>
          <w:tcPr>
            <w:tcW w:w="2593" w:type="dxa"/>
            <w:shd w:val="clear" w:color="auto" w:fill="FFD85B"/>
            <w:vAlign w:val="center"/>
          </w:tcPr>
          <w:p>
            <w:pPr>
              <w:spacing w:after="0" w:line="240" w:lineRule="auto"/>
              <w:rPr>
                <w:rFonts w:ascii="Arial" w:hAnsi="Arial" w:cs="Arial"/>
                <w:color w:val="000000" w:themeColor="text1"/>
                <w:sz w:val="24"/>
                <w:szCs w:val="24"/>
              </w:rPr>
            </w:pPr>
            <w:r>
              <w:rPr>
                <w:rFonts w:ascii="Arial" w:hAnsi="Arial" w:cs="Arial"/>
                <w:color w:val="000000" w:themeColor="text1"/>
                <w:sz w:val="24"/>
                <w:szCs w:val="24"/>
              </w:rPr>
              <w:t>Optic gliomata</w:t>
            </w:r>
          </w:p>
        </w:tc>
        <w:tc>
          <w:tcPr>
            <w:tcW w:w="1294" w:type="dxa"/>
            <w:tcBorders>
              <w:right w:val="thinThickSmallGap" w:color="auto" w:sz="24" w:space="0"/>
            </w:tcBorders>
            <w:shd w:val="clear" w:color="auto" w:fill="FFD85B"/>
            <w:vAlign w:val="center"/>
          </w:tcPr>
          <w:p>
            <w:pPr>
              <w:spacing w:after="0" w:line="240" w:lineRule="auto"/>
              <w:rPr>
                <w:rFonts w:ascii="Arial" w:hAnsi="Arial" w:eastAsia="MS Gothic" w:cs="Arial"/>
                <w:color w:val="000000" w:themeColor="text1"/>
                <w:sz w:val="24"/>
                <w:szCs w:val="24"/>
              </w:rPr>
            </w:pPr>
            <w:r>
              <w:rPr>
                <w:rFonts w:ascii="Arial" w:hAnsi="Arial" w:eastAsia="MS Gothic" w:cs="Arial"/>
                <w:color w:val="000000" w:themeColor="text1"/>
                <w:sz w:val="24"/>
                <w:szCs w:val="24"/>
              </w:rPr>
              <w:t>1</w:t>
            </w:r>
          </w:p>
        </w:tc>
        <w:tc>
          <w:tcPr>
            <w:tcW w:w="2351" w:type="dxa"/>
            <w:tcBorders>
              <w:left w:val="thinThickSmallGap" w:color="auto" w:sz="24" w:space="0"/>
            </w:tcBorders>
            <w:shd w:val="clear" w:color="auto" w:fill="FFD85B"/>
            <w:vAlign w:val="center"/>
          </w:tcPr>
          <w:p>
            <w:pPr>
              <w:spacing w:after="0" w:line="240" w:lineRule="auto"/>
              <w:rPr>
                <w:rFonts w:ascii="Arial" w:hAnsi="Arial" w:cs="Arial"/>
                <w:color w:val="000000" w:themeColor="text1"/>
                <w:sz w:val="24"/>
                <w:szCs w:val="24"/>
              </w:rPr>
            </w:pPr>
          </w:p>
        </w:tc>
        <w:tc>
          <w:tcPr>
            <w:tcW w:w="2351" w:type="dxa"/>
            <w:vMerge w:val="restart"/>
            <w:tcBorders>
              <w:left w:val="single" w:color="auto" w:sz="36" w:space="0"/>
            </w:tcBorders>
            <w:shd w:val="clear" w:color="auto" w:fill="FFD85B"/>
            <w:vAlign w:val="center"/>
          </w:tcPr>
          <w:p>
            <w:pPr>
              <w:spacing w:after="0" w:line="240" w:lineRule="auto"/>
              <w:rPr>
                <w:rFonts w:ascii="Arial" w:hAnsi="Arial" w:cs="Arial"/>
                <w:color w:val="000000" w:themeColor="text1"/>
                <w:sz w:val="24"/>
                <w:szCs w:val="24"/>
              </w:rPr>
            </w:pPr>
            <w:r>
              <w:rPr>
                <w:rFonts w:ascii="Arial" w:hAnsi="Arial" w:cs="Arial"/>
                <w:color w:val="000000" w:themeColor="text1"/>
                <w:sz w:val="24"/>
                <w:szCs w:val="24"/>
              </w:rPr>
              <w:t>Isolated ophthalmic criteria are likely to reflect mNF1 rather than constitutional NF1.</w:t>
            </w:r>
          </w:p>
        </w:tc>
      </w:tr>
      <w:tr>
        <w:trPr>
          <w:trHeight w:val="245" w:hRule="atLeast"/>
          <w:jc w:val="center"/>
        </w:trPr>
        <w:tc>
          <w:tcPr>
            <w:tcW w:w="1704" w:type="dxa"/>
            <w:vMerge w:val="continue"/>
            <w:shd w:val="clear" w:color="auto" w:fill="548DD4" w:themeFill="text2" w:themeFillTint="99"/>
            <w:vAlign w:val="center"/>
          </w:tcPr>
          <w:p>
            <w:pPr>
              <w:spacing w:after="0" w:line="240" w:lineRule="auto"/>
              <w:rPr>
                <w:rFonts w:ascii="Arial" w:hAnsi="Arial" w:cs="Arial"/>
                <w:b/>
                <w:bCs/>
                <w:color w:val="FFFFFF"/>
                <w:sz w:val="24"/>
                <w:szCs w:val="24"/>
              </w:rPr>
            </w:pPr>
          </w:p>
        </w:tc>
        <w:tc>
          <w:tcPr>
            <w:tcW w:w="2593" w:type="dxa"/>
            <w:vMerge w:val="restart"/>
            <w:shd w:val="clear" w:color="auto" w:fill="FFD85B"/>
            <w:vAlign w:val="center"/>
          </w:tcPr>
          <w:p>
            <w:pPr>
              <w:spacing w:after="0" w:line="240" w:lineRule="auto"/>
              <w:rPr>
                <w:rFonts w:ascii="Arial" w:hAnsi="Arial" w:cs="Arial"/>
                <w:color w:val="000000" w:themeColor="text1"/>
                <w:sz w:val="24"/>
                <w:szCs w:val="24"/>
              </w:rPr>
            </w:pPr>
            <w:r>
              <w:rPr>
                <w:rFonts w:ascii="Arial" w:hAnsi="Arial" w:cs="Arial"/>
                <w:color w:val="000000" w:themeColor="text1"/>
                <w:sz w:val="24"/>
                <w:szCs w:val="24"/>
              </w:rPr>
              <w:t>Lisch nodules</w:t>
            </w:r>
          </w:p>
          <w:p>
            <w:pPr>
              <w:spacing w:after="0" w:line="240" w:lineRule="auto"/>
              <w:ind w:firstLine="360" w:firstLineChars="150"/>
              <w:rPr>
                <w:rFonts w:ascii="Arial" w:hAnsi="Arial" w:cs="Arial"/>
                <w:color w:val="000000" w:themeColor="text1"/>
                <w:sz w:val="24"/>
                <w:szCs w:val="24"/>
              </w:rPr>
            </w:pPr>
            <w:r>
              <w:rPr>
                <w:rFonts w:ascii="Arial" w:hAnsi="Arial" w:cs="Arial"/>
                <w:color w:val="000000" w:themeColor="text1"/>
                <w:sz w:val="24"/>
                <w:szCs w:val="24"/>
                <w:lang w:val="en-GB"/>
              </w:rPr>
              <w:t>OR</w:t>
            </w:r>
          </w:p>
          <w:p>
            <w:pPr>
              <w:spacing w:after="0" w:line="240" w:lineRule="auto"/>
              <w:rPr>
                <w:rFonts w:ascii="Arial" w:hAnsi="Arial" w:cs="Arial"/>
                <w:color w:val="000000" w:themeColor="text1"/>
                <w:sz w:val="24"/>
                <w:szCs w:val="24"/>
              </w:rPr>
            </w:pPr>
            <w:bookmarkStart w:id="0" w:name="_Hlk114336274"/>
            <w:r>
              <w:rPr>
                <w:rFonts w:ascii="Arial" w:hAnsi="Arial" w:cs="Arial"/>
                <w:color w:val="000000" w:themeColor="text1"/>
                <w:sz w:val="24"/>
                <w:szCs w:val="24"/>
              </w:rPr>
              <w:t>choroidal abnormalities</w:t>
            </w:r>
            <w:bookmarkEnd w:id="0"/>
          </w:p>
        </w:tc>
        <w:tc>
          <w:tcPr>
            <w:tcW w:w="1294" w:type="dxa"/>
            <w:tcBorders>
              <w:right w:val="thinThickSmallGap" w:color="auto" w:sz="24" w:space="0"/>
            </w:tcBorders>
            <w:shd w:val="clear" w:color="auto" w:fill="FFD85B"/>
            <w:vAlign w:val="center"/>
          </w:tcPr>
          <w:p>
            <w:pPr>
              <w:spacing w:after="0" w:line="240" w:lineRule="auto"/>
              <w:rPr>
                <w:rFonts w:ascii="Arial" w:hAnsi="Arial" w:eastAsia="MS Gothic" w:cs="Arial"/>
                <w:color w:val="000000" w:themeColor="text1"/>
                <w:sz w:val="24"/>
                <w:szCs w:val="24"/>
                <w:lang w:val="en-GB"/>
              </w:rPr>
            </w:pPr>
            <w:r>
              <w:rPr>
                <w:rFonts w:ascii="Arial" w:hAnsi="Arial" w:eastAsia="MS Gothic" w:cs="Arial"/>
                <w:color w:val="000000" w:themeColor="text1"/>
                <w:sz w:val="24"/>
                <w:szCs w:val="24"/>
              </w:rPr>
              <w:t>2</w:t>
            </w:r>
            <w:r>
              <w:rPr>
                <w:rFonts w:ascii="Arial" w:hAnsi="Arial" w:eastAsia="MS Gothic" w:cs="Arial"/>
                <w:color w:val="000000" w:themeColor="text1"/>
                <w:sz w:val="24"/>
                <w:szCs w:val="24"/>
                <w:lang w:val="en-GB"/>
              </w:rPr>
              <w:t>*</w:t>
            </w:r>
          </w:p>
        </w:tc>
        <w:tc>
          <w:tcPr>
            <w:tcW w:w="2351" w:type="dxa"/>
            <w:tcBorders>
              <w:left w:val="thinThickSmallGap" w:color="auto" w:sz="24" w:space="0"/>
            </w:tcBorders>
            <w:shd w:val="clear" w:color="auto" w:fill="FFD85B"/>
            <w:vAlign w:val="center"/>
          </w:tcPr>
          <w:p>
            <w:pPr>
              <w:spacing w:after="0" w:line="240" w:lineRule="auto"/>
              <w:rPr>
                <w:rFonts w:ascii="Arial" w:hAnsi="Arial" w:cs="Arial"/>
                <w:color w:val="000000" w:themeColor="text1"/>
                <w:sz w:val="24"/>
                <w:szCs w:val="24"/>
              </w:rPr>
            </w:pPr>
            <w:r>
              <w:rPr>
                <w:rFonts w:ascii="Arial" w:hAnsi="Arial" w:cs="Arial"/>
                <w:color w:val="000000" w:themeColor="text1"/>
                <w:sz w:val="24"/>
                <w:szCs w:val="24"/>
              </w:rPr>
              <w:t>Also called iris hamartomas</w:t>
            </w:r>
          </w:p>
        </w:tc>
        <w:tc>
          <w:tcPr>
            <w:tcW w:w="2351" w:type="dxa"/>
            <w:vMerge w:val="continue"/>
            <w:tcBorders>
              <w:left w:val="single" w:color="auto" w:sz="36" w:space="0"/>
            </w:tcBorders>
            <w:shd w:val="clear" w:color="auto" w:fill="FFD85B"/>
            <w:vAlign w:val="center"/>
          </w:tcPr>
          <w:p>
            <w:pPr>
              <w:spacing w:after="0" w:line="240" w:lineRule="auto"/>
              <w:rPr>
                <w:rFonts w:ascii="Arial" w:hAnsi="Arial" w:cs="Arial"/>
                <w:color w:val="000000" w:themeColor="text1"/>
                <w:sz w:val="24"/>
                <w:szCs w:val="24"/>
                <w:lang w:val="en-GB"/>
              </w:rPr>
            </w:pPr>
          </w:p>
        </w:tc>
      </w:tr>
      <w:tr>
        <w:trPr>
          <w:trHeight w:val="245" w:hRule="atLeast"/>
          <w:jc w:val="center"/>
        </w:trPr>
        <w:tc>
          <w:tcPr>
            <w:tcW w:w="1704" w:type="dxa"/>
            <w:vMerge w:val="continue"/>
            <w:shd w:val="clear" w:color="auto" w:fill="548DD4" w:themeFill="text2" w:themeFillTint="99"/>
            <w:vAlign w:val="center"/>
          </w:tcPr>
          <w:p>
            <w:pPr>
              <w:spacing w:after="0" w:line="240" w:lineRule="auto"/>
              <w:rPr>
                <w:rFonts w:ascii="Arial" w:hAnsi="Arial" w:cs="Arial"/>
                <w:sz w:val="24"/>
                <w:szCs w:val="24"/>
              </w:rPr>
            </w:pPr>
          </w:p>
        </w:tc>
        <w:tc>
          <w:tcPr>
            <w:tcW w:w="2593" w:type="dxa"/>
            <w:vMerge w:val="continue"/>
            <w:shd w:val="clear" w:color="auto" w:fill="FFD85B"/>
            <w:vAlign w:val="center"/>
          </w:tcPr>
          <w:p>
            <w:pPr>
              <w:spacing w:after="0" w:line="240" w:lineRule="auto"/>
              <w:rPr>
                <w:rFonts w:ascii="Arial" w:hAnsi="Arial" w:cs="Arial"/>
                <w:color w:val="000000" w:themeColor="text1"/>
                <w:sz w:val="24"/>
                <w:szCs w:val="24"/>
              </w:rPr>
            </w:pPr>
          </w:p>
        </w:tc>
        <w:tc>
          <w:tcPr>
            <w:tcW w:w="1294" w:type="dxa"/>
            <w:tcBorders>
              <w:right w:val="thinThickSmallGap" w:color="auto" w:sz="24" w:space="0"/>
            </w:tcBorders>
            <w:shd w:val="clear" w:color="auto" w:fill="FFD85B"/>
            <w:vAlign w:val="center"/>
          </w:tcPr>
          <w:p>
            <w:pPr>
              <w:spacing w:after="0" w:line="240" w:lineRule="auto"/>
              <w:rPr>
                <w:rFonts w:ascii="Arial" w:hAnsi="Arial" w:cs="Arial"/>
                <w:color w:val="000000" w:themeColor="text1"/>
                <w:sz w:val="24"/>
                <w:szCs w:val="24"/>
                <w:lang w:val="en-GB"/>
              </w:rPr>
            </w:pPr>
            <w:r>
              <w:rPr>
                <w:rFonts w:ascii="Arial" w:hAnsi="Arial" w:cs="Arial"/>
                <w:color w:val="000000" w:themeColor="text1"/>
                <w:sz w:val="24"/>
                <w:szCs w:val="24"/>
                <w:lang w:val="en-GB"/>
              </w:rPr>
              <w:t>2*</w:t>
            </w:r>
          </w:p>
        </w:tc>
        <w:tc>
          <w:tcPr>
            <w:tcW w:w="2351" w:type="dxa"/>
            <w:tcBorders>
              <w:left w:val="thinThickSmallGap" w:color="auto" w:sz="24" w:space="0"/>
            </w:tcBorders>
            <w:shd w:val="clear" w:color="auto" w:fill="FFD85B"/>
            <w:vAlign w:val="center"/>
          </w:tcPr>
          <w:p>
            <w:pPr>
              <w:spacing w:after="0" w:line="240" w:lineRule="auto"/>
              <w:rPr>
                <w:rFonts w:ascii="Arial" w:hAnsi="Arial" w:cs="Arial"/>
                <w:color w:val="000000" w:themeColor="text1"/>
                <w:sz w:val="24"/>
                <w:szCs w:val="24"/>
              </w:rPr>
            </w:pPr>
          </w:p>
        </w:tc>
        <w:tc>
          <w:tcPr>
            <w:tcW w:w="2351" w:type="dxa"/>
            <w:vMerge w:val="continue"/>
            <w:tcBorders>
              <w:left w:val="single" w:color="auto" w:sz="36" w:space="0"/>
            </w:tcBorders>
            <w:shd w:val="clear" w:color="auto" w:fill="D7D7D7" w:themeFill="background1" w:themeFillShade="D8"/>
            <w:vAlign w:val="center"/>
          </w:tcPr>
          <w:p>
            <w:pPr>
              <w:spacing w:after="0" w:line="240" w:lineRule="auto"/>
              <w:rPr>
                <w:rFonts w:ascii="Arial" w:hAnsi="Arial" w:cs="Arial"/>
                <w:color w:val="000000" w:themeColor="text1"/>
                <w:sz w:val="24"/>
                <w:szCs w:val="24"/>
              </w:rPr>
            </w:pPr>
          </w:p>
        </w:tc>
      </w:tr>
      <w:tr>
        <w:trPr>
          <w:trHeight w:val="289" w:hRule="atLeast"/>
          <w:jc w:val="center"/>
        </w:trPr>
        <w:tc>
          <w:tcPr>
            <w:tcW w:w="1704" w:type="dxa"/>
            <w:shd w:val="clear" w:color="auto" w:fill="548DD4" w:themeFill="text2" w:themeFillTint="99"/>
            <w:vAlign w:val="center"/>
          </w:tcPr>
          <w:p>
            <w:pPr>
              <w:spacing w:after="0" w:line="240" w:lineRule="auto"/>
              <w:rPr>
                <w:rFonts w:ascii="Arial" w:hAnsi="Arial" w:cs="Arial"/>
                <w:b/>
                <w:bCs/>
                <w:color w:val="FFFFFF"/>
                <w:sz w:val="24"/>
                <w:szCs w:val="24"/>
              </w:rPr>
            </w:pPr>
            <w:r>
              <w:rPr>
                <w:rFonts w:ascii="Arial" w:hAnsi="Arial" w:cs="Arial"/>
                <w:b/>
                <w:bCs/>
                <w:color w:val="FFFFFF"/>
                <w:sz w:val="24"/>
                <w:szCs w:val="24"/>
              </w:rPr>
              <w:t>Neurology</w:t>
            </w:r>
          </w:p>
        </w:tc>
        <w:tc>
          <w:tcPr>
            <w:tcW w:w="2593" w:type="dxa"/>
            <w:shd w:val="clear" w:color="auto" w:fill="FFFFFF" w:themeFill="background1"/>
            <w:vAlign w:val="center"/>
          </w:tcPr>
          <w:p>
            <w:pPr>
              <w:spacing w:after="0" w:line="240" w:lineRule="auto"/>
              <w:rPr>
                <w:rFonts w:ascii="Arial" w:hAnsi="Arial" w:cs="Arial"/>
                <w:color w:val="000000" w:themeColor="text1"/>
                <w:sz w:val="24"/>
                <w:szCs w:val="24"/>
              </w:rPr>
            </w:pPr>
            <w:r>
              <w:rPr>
                <w:rFonts w:ascii="Arial" w:hAnsi="Arial" w:cs="Arial"/>
                <w:color w:val="000000" w:themeColor="text1"/>
                <w:sz w:val="24"/>
                <w:szCs w:val="24"/>
              </w:rPr>
              <w:t>Neurofibromas</w:t>
            </w:r>
          </w:p>
        </w:tc>
        <w:tc>
          <w:tcPr>
            <w:tcW w:w="1294" w:type="dxa"/>
            <w:tcBorders>
              <w:right w:val="thinThickSmallGap" w:color="auto" w:sz="24" w:space="0"/>
            </w:tcBorders>
            <w:shd w:val="clear" w:color="auto" w:fill="FFFFFF" w:themeFill="background1"/>
            <w:vAlign w:val="center"/>
          </w:tcPr>
          <w:p>
            <w:pPr>
              <w:spacing w:after="0" w:line="240" w:lineRule="auto"/>
              <w:rPr>
                <w:rFonts w:ascii="Arial" w:hAnsi="Arial" w:eastAsia="MS Gothic" w:cs="Arial"/>
                <w:color w:val="000000" w:themeColor="text1"/>
                <w:sz w:val="24"/>
                <w:szCs w:val="24"/>
              </w:rPr>
            </w:pPr>
            <w:r>
              <w:rPr>
                <w:rFonts w:ascii="Arial" w:hAnsi="Arial" w:eastAsia="MS Gothic" w:cs="Arial"/>
                <w:color w:val="000000" w:themeColor="text1"/>
                <w:sz w:val="24"/>
                <w:szCs w:val="24"/>
              </w:rPr>
              <w:t>2*</w:t>
            </w:r>
          </w:p>
        </w:tc>
        <w:tc>
          <w:tcPr>
            <w:tcW w:w="2351" w:type="dxa"/>
            <w:tcBorders>
              <w:left w:val="thinThickSmallGap" w:color="auto" w:sz="24" w:space="0"/>
            </w:tcBorders>
            <w:shd w:val="clear" w:color="auto" w:fill="FFFFFF" w:themeFill="background1"/>
            <w:vAlign w:val="center"/>
          </w:tcPr>
          <w:p>
            <w:pPr>
              <w:spacing w:after="0" w:line="240" w:lineRule="auto"/>
              <w:rPr>
                <w:rFonts w:ascii="Arial" w:hAnsi="Arial" w:cs="Arial"/>
                <w:color w:val="000000" w:themeColor="text1"/>
                <w:sz w:val="24"/>
                <w:szCs w:val="24"/>
              </w:rPr>
            </w:pPr>
            <w:r>
              <w:rPr>
                <w:rFonts w:ascii="Arial" w:hAnsi="Arial" w:cs="Arial"/>
                <w:color w:val="000000" w:themeColor="text1"/>
                <w:sz w:val="24"/>
                <w:szCs w:val="24"/>
              </w:rPr>
              <w:t>* only 1 if plexiform neurofibroma</w:t>
            </w:r>
          </w:p>
        </w:tc>
        <w:tc>
          <w:tcPr>
            <w:tcW w:w="2351" w:type="dxa"/>
            <w:tcBorders>
              <w:left w:val="single" w:color="auto" w:sz="36" w:space="0"/>
            </w:tcBorders>
            <w:shd w:val="clear" w:color="auto" w:fill="FFFFFF" w:themeFill="background1"/>
            <w:vAlign w:val="center"/>
          </w:tcPr>
          <w:p>
            <w:pPr>
              <w:spacing w:after="0" w:line="240" w:lineRule="auto"/>
              <w:rPr>
                <w:rFonts w:ascii="Arial" w:hAnsi="Arial" w:cs="Arial"/>
                <w:color w:val="000000" w:themeColor="text1"/>
                <w:sz w:val="24"/>
                <w:szCs w:val="24"/>
              </w:rPr>
            </w:pPr>
          </w:p>
        </w:tc>
      </w:tr>
      <w:tr>
        <w:trPr>
          <w:trHeight w:val="579" w:hRule="atLeast"/>
          <w:jc w:val="center"/>
        </w:trPr>
        <w:tc>
          <w:tcPr>
            <w:tcW w:w="1704" w:type="dxa"/>
            <w:shd w:val="clear" w:color="auto" w:fill="548DD4" w:themeFill="text2" w:themeFillTint="99"/>
            <w:vAlign w:val="center"/>
          </w:tcPr>
          <w:p>
            <w:pPr>
              <w:spacing w:after="0" w:line="240" w:lineRule="auto"/>
              <w:rPr>
                <w:rFonts w:ascii="Arial" w:hAnsi="Arial" w:cs="Arial"/>
                <w:b/>
                <w:bCs/>
                <w:color w:val="FFFFFF"/>
                <w:sz w:val="24"/>
                <w:szCs w:val="24"/>
              </w:rPr>
            </w:pPr>
            <w:r>
              <w:rPr>
                <w:rFonts w:ascii="Arial" w:hAnsi="Arial" w:cs="Arial"/>
                <w:b/>
                <w:bCs/>
                <w:color w:val="FFFFFF"/>
                <w:sz w:val="24"/>
                <w:szCs w:val="24"/>
              </w:rPr>
              <w:t>Skeletal</w:t>
            </w:r>
          </w:p>
        </w:tc>
        <w:tc>
          <w:tcPr>
            <w:tcW w:w="2593" w:type="dxa"/>
            <w:shd w:val="clear" w:color="auto" w:fill="FFD243"/>
            <w:vAlign w:val="center"/>
          </w:tcPr>
          <w:p>
            <w:pPr>
              <w:spacing w:after="0" w:line="240" w:lineRule="auto"/>
              <w:rPr>
                <w:rFonts w:ascii="Arial" w:hAnsi="Arial" w:cs="Arial"/>
                <w:color w:val="000000" w:themeColor="text1"/>
                <w:sz w:val="24"/>
                <w:szCs w:val="24"/>
              </w:rPr>
            </w:pPr>
            <w:r>
              <w:rPr>
                <w:rFonts w:ascii="Arial" w:hAnsi="Arial" w:cs="Arial"/>
                <w:color w:val="000000" w:themeColor="text1"/>
                <w:sz w:val="24"/>
                <w:szCs w:val="24"/>
              </w:rPr>
              <w:t>Distinctive osseous lesion</w:t>
            </w:r>
          </w:p>
        </w:tc>
        <w:tc>
          <w:tcPr>
            <w:tcW w:w="1294" w:type="dxa"/>
            <w:tcBorders>
              <w:right w:val="thinThickSmallGap" w:color="auto" w:sz="24" w:space="0"/>
            </w:tcBorders>
            <w:shd w:val="clear" w:color="auto" w:fill="FFD243"/>
            <w:vAlign w:val="center"/>
          </w:tcPr>
          <w:p>
            <w:pPr>
              <w:spacing w:after="0" w:line="240" w:lineRule="auto"/>
              <w:rPr>
                <w:rFonts w:ascii="Arial" w:hAnsi="Arial" w:eastAsia="MS Gothic" w:cs="Arial"/>
                <w:color w:val="000000" w:themeColor="text1"/>
                <w:sz w:val="24"/>
                <w:szCs w:val="24"/>
              </w:rPr>
            </w:pPr>
            <w:r>
              <w:rPr>
                <w:rFonts w:ascii="Arial" w:hAnsi="Arial" w:eastAsia="MS Gothic" w:cs="Arial"/>
                <w:color w:val="000000" w:themeColor="text1"/>
                <w:sz w:val="24"/>
                <w:szCs w:val="24"/>
              </w:rPr>
              <w:t>1</w:t>
            </w:r>
          </w:p>
        </w:tc>
        <w:tc>
          <w:tcPr>
            <w:tcW w:w="2351" w:type="dxa"/>
            <w:tcBorders>
              <w:left w:val="thinThickSmallGap" w:color="auto" w:sz="24" w:space="0"/>
            </w:tcBorders>
            <w:shd w:val="clear" w:color="auto" w:fill="FFD243"/>
            <w:vAlign w:val="center"/>
          </w:tcPr>
          <w:p>
            <w:pPr>
              <w:spacing w:after="0" w:line="240" w:lineRule="auto"/>
              <w:rPr>
                <w:rFonts w:ascii="Arial" w:hAnsi="Arial" w:cs="Arial"/>
                <w:color w:val="000000" w:themeColor="text1"/>
                <w:sz w:val="24"/>
                <w:szCs w:val="24"/>
                <w:lang w:val="en-GB"/>
              </w:rPr>
            </w:pPr>
            <w:r>
              <w:rPr>
                <w:rFonts w:ascii="Arial" w:hAnsi="Arial" w:cs="Arial"/>
                <w:color w:val="000000" w:themeColor="text1"/>
                <w:sz w:val="24"/>
                <w:szCs w:val="24"/>
              </w:rPr>
              <w:t>Examples: Sphenoid dysplasia;</w:t>
            </w:r>
            <w:r>
              <w:rPr>
                <w:rFonts w:ascii="Arial" w:hAnsi="Arial" w:cs="Arial"/>
                <w:color w:val="000000" w:themeColor="text1"/>
                <w:sz w:val="24"/>
                <w:szCs w:val="24"/>
                <w:lang w:val="en-GB"/>
              </w:rPr>
              <w:t xml:space="preserve">long bone </w:t>
            </w:r>
            <w:r>
              <w:rPr>
                <w:rFonts w:ascii="Arial" w:hAnsi="Arial" w:cs="Arial"/>
                <w:color w:val="000000" w:themeColor="text1"/>
                <w:sz w:val="24"/>
                <w:szCs w:val="24"/>
              </w:rPr>
              <w:t>pseudoarthrosis</w:t>
            </w:r>
            <w:r>
              <w:rPr>
                <w:rFonts w:ascii="Arial" w:hAnsi="Arial" w:cs="Arial"/>
                <w:color w:val="000000" w:themeColor="text1"/>
                <w:sz w:val="24"/>
                <w:szCs w:val="24"/>
                <w:lang w:val="en-GB"/>
              </w:rPr>
              <w:t xml:space="preserve"> oranterolateral bowing of the tibia,</w:t>
            </w:r>
          </w:p>
        </w:tc>
        <w:tc>
          <w:tcPr>
            <w:tcW w:w="2351" w:type="dxa"/>
            <w:tcBorders>
              <w:left w:val="single" w:color="auto" w:sz="36" w:space="0"/>
            </w:tcBorders>
            <w:shd w:val="clear" w:color="auto" w:fill="FFD243"/>
            <w:vAlign w:val="center"/>
          </w:tcPr>
          <w:p>
            <w:pPr>
              <w:spacing w:after="0" w:line="240" w:lineRule="auto"/>
              <w:rPr>
                <w:rFonts w:ascii="Arial" w:hAnsi="Arial" w:cs="Arial"/>
                <w:color w:val="000000" w:themeColor="text1"/>
                <w:sz w:val="24"/>
                <w:szCs w:val="24"/>
              </w:rPr>
            </w:pPr>
            <w:r>
              <w:rPr>
                <w:rFonts w:ascii="Arial" w:hAnsi="Arial" w:cs="Arial"/>
                <w:color w:val="000000" w:themeColor="text1"/>
                <w:sz w:val="24"/>
                <w:szCs w:val="24"/>
              </w:rPr>
              <w:t>Sphenoid dysplasia is not a separate criterion in case of an ipsilateral orbital plexiform neurofibroma</w:t>
            </w:r>
          </w:p>
        </w:tc>
      </w:tr>
      <w:tr>
        <w:trPr>
          <w:trHeight w:val="579" w:hRule="atLeast"/>
          <w:jc w:val="center"/>
        </w:trPr>
        <w:tc>
          <w:tcPr>
            <w:tcW w:w="1704" w:type="dxa"/>
            <w:shd w:val="clear" w:color="auto" w:fill="548DD4" w:themeFill="text2" w:themeFillTint="99"/>
            <w:vAlign w:val="center"/>
          </w:tcPr>
          <w:p>
            <w:pPr>
              <w:spacing w:after="0" w:line="240" w:lineRule="auto"/>
              <w:rPr>
                <w:rFonts w:ascii="Arial" w:hAnsi="Arial" w:cs="Arial"/>
                <w:b/>
                <w:bCs/>
                <w:color w:val="FFFFFF"/>
                <w:sz w:val="24"/>
                <w:szCs w:val="24"/>
                <w:lang w:val="en-GB"/>
              </w:rPr>
            </w:pPr>
            <w:r>
              <w:rPr>
                <w:rFonts w:ascii="Arial" w:hAnsi="Arial" w:cs="Arial"/>
                <w:b/>
                <w:bCs/>
                <w:color w:val="FFFFFF"/>
                <w:sz w:val="24"/>
                <w:szCs w:val="24"/>
                <w:lang w:val="en-GB"/>
              </w:rPr>
              <w:t>Genitics</w:t>
            </w:r>
          </w:p>
        </w:tc>
        <w:tc>
          <w:tcPr>
            <w:tcW w:w="3887" w:type="dxa"/>
            <w:gridSpan w:val="2"/>
            <w:tcBorders>
              <w:right w:val="thinThickSmallGap" w:color="auto" w:sz="24" w:space="0"/>
            </w:tcBorders>
            <w:shd w:val="clear" w:color="auto" w:fill="FFFFFF" w:themeFill="background1"/>
            <w:vAlign w:val="center"/>
          </w:tcPr>
          <w:p>
            <w:pPr>
              <w:spacing w:after="0" w:line="240" w:lineRule="auto"/>
              <w:rPr>
                <w:rFonts w:ascii="Arial" w:hAnsi="Arial" w:eastAsia="Cambria" w:cs="Arial"/>
                <w:color w:val="000000" w:themeColor="text1"/>
                <w:sz w:val="24"/>
                <w:szCs w:val="24"/>
                <w:shd w:val="clear" w:color="auto" w:fill="FFFCF0"/>
              </w:rPr>
            </w:pPr>
            <w:r>
              <w:rPr>
                <w:rFonts w:ascii="Arial" w:hAnsi="Arial" w:cs="Arial"/>
                <w:color w:val="000000" w:themeColor="text1"/>
                <w:sz w:val="24"/>
                <w:szCs w:val="24"/>
                <w:shd w:val="clear" w:color="auto" w:fill="FFFFFF" w:themeFill="background1"/>
              </w:rPr>
              <w:t xml:space="preserve">A </w:t>
            </w:r>
            <w:bookmarkStart w:id="1" w:name="_Hlk114336144"/>
            <w:r>
              <w:rPr>
                <w:rFonts w:ascii="Arial" w:hAnsi="Arial" w:cs="Arial"/>
                <w:color w:val="000000" w:themeColor="text1"/>
                <w:sz w:val="24"/>
                <w:szCs w:val="24"/>
                <w:shd w:val="clear" w:color="auto" w:fill="FFFFFF" w:themeFill="background1"/>
              </w:rPr>
              <w:t>heterozygous pathogenic NF1 variant with a variant allele fraction of 50%</w:t>
            </w:r>
            <w:bookmarkEnd w:id="1"/>
            <w:r>
              <w:rPr>
                <w:rFonts w:ascii="Arial" w:hAnsi="Arial" w:cs="Arial"/>
                <w:color w:val="000000" w:themeColor="text1"/>
                <w:sz w:val="24"/>
                <w:szCs w:val="24"/>
                <w:shd w:val="clear" w:color="auto" w:fill="FFFFFF" w:themeFill="background1"/>
              </w:rPr>
              <w:t xml:space="preserve"> in apparently normal tissue such as white blood cells</w:t>
            </w:r>
          </w:p>
        </w:tc>
        <w:tc>
          <w:tcPr>
            <w:tcW w:w="4702" w:type="dxa"/>
            <w:gridSpan w:val="2"/>
            <w:tcBorders>
              <w:left w:val="thinThickSmallGap" w:color="auto" w:sz="24" w:space="0"/>
            </w:tcBorders>
            <w:shd w:val="clear" w:color="auto" w:fill="FFFFFF" w:themeFill="background1"/>
            <w:vAlign w:val="center"/>
          </w:tcPr>
          <w:p>
            <w:pPr>
              <w:spacing w:after="0" w:line="240" w:lineRule="auto"/>
              <w:rPr>
                <w:rFonts w:ascii="Arial" w:hAnsi="Arial" w:cs="Arial"/>
                <w:color w:val="000000" w:themeColor="text1"/>
                <w:sz w:val="24"/>
                <w:szCs w:val="24"/>
                <w:shd w:val="clear" w:color="auto" w:fill="FFFFFF" w:themeFill="background1"/>
                <w:lang w:val="en-GB"/>
              </w:rPr>
            </w:pPr>
            <w:r>
              <w:rPr>
                <w:rFonts w:ascii="Arial" w:hAnsi="Arial" w:cs="Arial"/>
                <w:color w:val="000000" w:themeColor="text1"/>
                <w:sz w:val="24"/>
                <w:szCs w:val="24"/>
                <w:shd w:val="clear" w:color="auto" w:fill="FFFFFF" w:themeFill="background1"/>
                <w:lang w:val="en-GB"/>
              </w:rPr>
              <w:t>If &lt;50% and 1 other NF1 criterion(except parent with NF1), consider mNF1</w:t>
            </w:r>
          </w:p>
        </w:tc>
      </w:tr>
      <w:tr>
        <w:trPr>
          <w:trHeight w:val="579" w:hRule="atLeast"/>
          <w:jc w:val="center"/>
        </w:trPr>
        <w:tc>
          <w:tcPr>
            <w:tcW w:w="1704" w:type="dxa"/>
            <w:shd w:val="clear" w:color="auto" w:fill="548DD4" w:themeFill="text2" w:themeFillTint="99"/>
            <w:vAlign w:val="center"/>
          </w:tcPr>
          <w:p>
            <w:pPr>
              <w:spacing w:after="0" w:line="240" w:lineRule="auto"/>
              <w:rPr>
                <w:rFonts w:ascii="Arial" w:hAnsi="Arial" w:cs="Arial"/>
                <w:b/>
                <w:bCs/>
                <w:color w:val="FFFFFF"/>
                <w:sz w:val="24"/>
                <w:szCs w:val="24"/>
              </w:rPr>
            </w:pPr>
            <w:r>
              <w:rPr>
                <w:rFonts w:ascii="Arial" w:hAnsi="Arial" w:cs="Arial"/>
                <w:b/>
                <w:bCs/>
                <w:color w:val="FFFFFF"/>
                <w:sz w:val="24"/>
                <w:szCs w:val="24"/>
              </w:rPr>
              <w:t>Family history</w:t>
            </w:r>
          </w:p>
        </w:tc>
        <w:tc>
          <w:tcPr>
            <w:tcW w:w="2593" w:type="dxa"/>
            <w:shd w:val="clear" w:color="auto" w:fill="FFD85B"/>
            <w:vAlign w:val="center"/>
          </w:tcPr>
          <w:p>
            <w:pPr>
              <w:spacing w:after="0" w:line="240" w:lineRule="auto"/>
              <w:ind w:left="120" w:hanging="120" w:hangingChars="50"/>
              <w:rPr>
                <w:rFonts w:ascii="Arial" w:hAnsi="Arial" w:cs="Arial"/>
                <w:color w:val="000000" w:themeColor="text1"/>
                <w:sz w:val="24"/>
                <w:szCs w:val="24"/>
              </w:rPr>
            </w:pPr>
            <w:r>
              <w:rPr>
                <w:rFonts w:ascii="Arial" w:hAnsi="Arial" w:cs="Arial"/>
                <w:color w:val="000000" w:themeColor="text1"/>
                <w:sz w:val="24"/>
                <w:szCs w:val="24"/>
                <w:lang w:val="en-GB"/>
              </w:rPr>
              <w:t xml:space="preserve">(parent ) </w:t>
            </w:r>
            <w:r>
              <w:rPr>
                <w:rFonts w:ascii="Arial" w:hAnsi="Arial" w:cs="Arial"/>
                <w:color w:val="000000" w:themeColor="text1"/>
                <w:sz w:val="24"/>
                <w:szCs w:val="24"/>
              </w:rPr>
              <w:t>with NF1</w:t>
            </w:r>
          </w:p>
        </w:tc>
        <w:tc>
          <w:tcPr>
            <w:tcW w:w="1294" w:type="dxa"/>
            <w:tcBorders>
              <w:right w:val="thinThickSmallGap" w:color="auto" w:sz="24" w:space="0"/>
            </w:tcBorders>
            <w:shd w:val="clear" w:color="auto" w:fill="FFD85B"/>
            <w:vAlign w:val="center"/>
          </w:tcPr>
          <w:p>
            <w:pPr>
              <w:spacing w:after="0" w:line="240" w:lineRule="auto"/>
              <w:rPr>
                <w:rFonts w:ascii="Arial" w:hAnsi="Arial" w:eastAsia="MS Gothic" w:cs="Arial"/>
                <w:sz w:val="24"/>
                <w:szCs w:val="24"/>
              </w:rPr>
            </w:pPr>
            <w:r>
              <w:rPr>
                <w:rFonts w:ascii="Arial" w:hAnsi="Arial" w:eastAsia="MS Gothic" w:cs="Arial"/>
                <w:color w:val="000000" w:themeColor="text1"/>
                <w:sz w:val="24"/>
                <w:szCs w:val="24"/>
              </w:rPr>
              <w:t>1</w:t>
            </w:r>
          </w:p>
        </w:tc>
        <w:tc>
          <w:tcPr>
            <w:tcW w:w="2351" w:type="dxa"/>
            <w:tcBorders>
              <w:left w:val="thinThickSmallGap" w:color="auto" w:sz="24" w:space="0"/>
            </w:tcBorders>
            <w:shd w:val="clear" w:color="auto" w:fill="FFD85B"/>
            <w:vAlign w:val="center"/>
          </w:tcPr>
          <w:p>
            <w:pPr>
              <w:spacing w:after="0" w:line="240" w:lineRule="auto"/>
              <w:rPr>
                <w:rFonts w:ascii="Arial" w:hAnsi="Arial" w:cs="Arial"/>
                <w:color w:val="000000" w:themeColor="text1"/>
                <w:sz w:val="24"/>
                <w:szCs w:val="24"/>
              </w:rPr>
            </w:pPr>
            <w:r>
              <w:rPr>
                <w:rFonts w:ascii="Arial" w:hAnsi="Arial" w:cs="Arial"/>
                <w:color w:val="000000" w:themeColor="text1"/>
                <w:sz w:val="24"/>
                <w:szCs w:val="24"/>
              </w:rPr>
              <w:t>With diagnosis as defined by above criteria.</w:t>
            </w:r>
          </w:p>
        </w:tc>
        <w:tc>
          <w:tcPr>
            <w:tcW w:w="2351" w:type="dxa"/>
            <w:tcBorders>
              <w:left w:val="single" w:color="auto" w:sz="36" w:space="0"/>
            </w:tcBorders>
            <w:shd w:val="clear" w:color="auto" w:fill="FFD85B"/>
            <w:vAlign w:val="center"/>
          </w:tcPr>
          <w:p>
            <w:pPr>
              <w:spacing w:after="0" w:line="240" w:lineRule="auto"/>
              <w:rPr>
                <w:rFonts w:ascii="Arial" w:hAnsi="Arial" w:eastAsia="MS Gothic" w:cs="Arial"/>
                <w:color w:val="000000" w:themeColor="text1"/>
                <w:sz w:val="24"/>
                <w:szCs w:val="24"/>
              </w:rPr>
            </w:pPr>
            <w:r>
              <w:rPr>
                <w:rFonts w:ascii="Arial" w:hAnsi="Arial" w:eastAsia="MS Gothic" w:cs="Arial"/>
                <w:color w:val="000000" w:themeColor="text1"/>
                <w:sz w:val="24"/>
                <w:szCs w:val="24"/>
              </w:rPr>
              <w:t xml:space="preserve">Affected siblings and offspring no longer qualify as a criterion </w:t>
            </w:r>
          </w:p>
        </w:tc>
      </w:tr>
    </w:tbl>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pStyle w:val="21"/>
        <w:spacing w:line="240" w:lineRule="auto"/>
        <w:ind w:left="0"/>
        <w:jc w:val="both"/>
        <w:outlineLvl w:val="0"/>
        <w:rPr>
          <w:rFonts w:ascii="Arial" w:hAnsi="Arial" w:cs="Arial"/>
          <w:b/>
          <w:sz w:val="24"/>
          <w:szCs w:val="24"/>
        </w:rPr>
      </w:pPr>
      <w:r>
        <w:rPr>
          <w:rFonts w:ascii="Arial" w:hAnsi="Arial" w:cs="Arial"/>
          <w:b/>
          <w:sz w:val="24"/>
          <w:szCs w:val="24"/>
        </w:rPr>
        <w:t>Mosaic Neurofibromatosis (mNF1):</w:t>
      </w:r>
    </w:p>
    <w:p>
      <w:pPr>
        <w:rPr>
          <w:rFonts w:ascii="Arial" w:hAnsi="Arial" w:cs="Arial"/>
          <w:sz w:val="24"/>
          <w:szCs w:val="24"/>
        </w:rPr>
      </w:pPr>
      <w:r>
        <w:rPr>
          <w:rFonts w:ascii="Arial" w:hAnsi="Arial" w:cs="Arial"/>
          <w:sz w:val="24"/>
          <w:szCs w:val="24"/>
        </w:rPr>
        <w:t xml:space="preserve">Mosaic NF1 develops when a disease variant hits at any stage after zygote formation. As a result, affected cells only carry the disease variant, which varies depending on the stage after fertilisation at which it has impacted. The presentation can range from a single segment of pigmentary findings that do not cross the midline to multiple body regions that do. Thus, segmental NF1, which implies involvement of a particular body segment, is mosaic. Many of these individuals are undiagnosed because they do not meet the NIH's NF1 diagnostic criteria [7]. It is important to identify NF1 as although the risk of disease variant transmission to the next generation is low in mNF1, if it occurs, offspring will carry the disease variant in germ cells and pass it as heterozygous with a greater risk of transmission, clinical findings, and complications than the mosaic form [8]. </w:t>
      </w:r>
    </w:p>
    <w:p>
      <w:pPr>
        <w:pStyle w:val="21"/>
        <w:spacing w:line="240" w:lineRule="auto"/>
        <w:ind w:left="0"/>
        <w:jc w:val="both"/>
        <w:outlineLvl w:val="0"/>
        <w:rPr>
          <w:rFonts w:ascii="Arial" w:hAnsi="Arial" w:cs="Arial"/>
          <w:b/>
          <w:sz w:val="24"/>
          <w:szCs w:val="24"/>
        </w:rPr>
      </w:pPr>
    </w:p>
    <w:p>
      <w:pPr>
        <w:pStyle w:val="21"/>
        <w:spacing w:line="240" w:lineRule="auto"/>
        <w:ind w:left="0"/>
        <w:jc w:val="both"/>
        <w:outlineLvl w:val="0"/>
        <w:rPr>
          <w:rFonts w:ascii="Arial" w:hAnsi="Arial" w:cs="Arial"/>
          <w:b/>
          <w:sz w:val="24"/>
          <w:szCs w:val="24"/>
        </w:rPr>
      </w:pPr>
    </w:p>
    <w:p>
      <w:pPr>
        <w:pStyle w:val="21"/>
        <w:spacing w:line="240" w:lineRule="auto"/>
        <w:ind w:left="0"/>
        <w:jc w:val="both"/>
        <w:outlineLvl w:val="0"/>
        <w:rPr>
          <w:rFonts w:ascii="Arial" w:hAnsi="Arial" w:cs="Arial"/>
          <w:b/>
          <w:sz w:val="24"/>
          <w:szCs w:val="24"/>
        </w:rPr>
      </w:pPr>
    </w:p>
    <w:p>
      <w:pPr>
        <w:pStyle w:val="21"/>
        <w:spacing w:line="240" w:lineRule="auto"/>
        <w:ind w:left="0"/>
        <w:jc w:val="both"/>
        <w:outlineLvl w:val="0"/>
        <w:rPr>
          <w:rFonts w:ascii="Arial" w:hAnsi="Arial" w:cs="Arial"/>
          <w:b/>
          <w:sz w:val="24"/>
          <w:szCs w:val="24"/>
        </w:rPr>
      </w:pPr>
      <w:r>
        <w:rPr>
          <w:rFonts w:ascii="Arial" w:hAnsi="Arial" w:cs="Arial"/>
          <w:b/>
          <w:sz w:val="24"/>
          <w:szCs w:val="24"/>
        </w:rPr>
        <w:t>Legius Syndrome (LGSS)</w:t>
      </w:r>
    </w:p>
    <w:p>
      <w:pPr>
        <w:spacing w:line="240" w:lineRule="auto"/>
        <w:outlineLvl w:val="0"/>
        <w:rPr>
          <w:rFonts w:ascii="Arial" w:hAnsi="Arial" w:cs="Arial"/>
          <w:sz w:val="24"/>
          <w:szCs w:val="24"/>
        </w:rPr>
      </w:pPr>
      <w:r>
        <w:rPr>
          <w:rFonts w:ascii="Arial" w:hAnsi="Arial" w:cs="Arial"/>
          <w:sz w:val="24"/>
          <w:szCs w:val="24"/>
        </w:rPr>
        <w:br w:type="textWrapping"/>
      </w:r>
      <w:r>
        <w:rPr>
          <w:rFonts w:ascii="Arial" w:hAnsi="Arial" w:cs="Arial"/>
          <w:sz w:val="24"/>
          <w:szCs w:val="24"/>
        </w:rPr>
        <w:t>LGSS is caused by a heterozygous disease-causing variant in the SPRED1 gene . It is characterized by pigmentation as CALMs and frecklings. The 2021 international consensus established criteria for diagnosing it (table2). It is important to distinguish between NF1 and LGSS because the latter, caused by a SPRED1 disease variant, does not result in the nervous system tumours seen in NF1. In contrast to NIH criteria, the 2021 consensus's revised criteria could aid in this differentiation, as some populations with SPRED1 gene variants could meet NIH criteria but not the revised criteria [6].</w:t>
      </w:r>
    </w:p>
    <w:p>
      <w:pPr>
        <w:jc w:val="center"/>
        <w:rPr>
          <w:rFonts w:ascii="Times New Roman" w:hAnsi="Times New Roman"/>
          <w:vertAlign w:val="superscript"/>
        </w:rPr>
      </w:pPr>
    </w:p>
    <w:p>
      <w:pPr>
        <w:spacing w:line="240" w:lineRule="auto"/>
        <w:outlineLvl w:val="0"/>
        <w:rPr>
          <w:rFonts w:ascii="Times New Roman" w:hAnsi="Times New Roman"/>
          <w:b/>
          <w:sz w:val="24"/>
          <w:szCs w:val="24"/>
        </w:rPr>
      </w:pPr>
    </w:p>
    <w:p>
      <w:pPr>
        <w:spacing w:line="240" w:lineRule="auto"/>
        <w:outlineLvl w:val="0"/>
        <w:rPr>
          <w:rFonts w:ascii="Arial" w:hAnsi="Arial" w:cs="Arial"/>
          <w:sz w:val="24"/>
          <w:szCs w:val="24"/>
        </w:rPr>
      </w:pPr>
    </w:p>
    <w:p>
      <w:pPr>
        <w:spacing w:line="240" w:lineRule="auto"/>
        <w:outlineLvl w:val="0"/>
        <w:rPr>
          <w:rFonts w:ascii="Arial" w:hAnsi="Arial" w:cs="Arial"/>
          <w:sz w:val="24"/>
          <w:szCs w:val="24"/>
        </w:rPr>
      </w:pPr>
    </w:p>
    <w:p>
      <w:pPr>
        <w:spacing w:line="240" w:lineRule="auto"/>
        <w:outlineLvl w:val="0"/>
        <w:rPr>
          <w:rFonts w:ascii="Arial" w:hAnsi="Arial" w:cs="Arial"/>
          <w:sz w:val="24"/>
          <w:szCs w:val="24"/>
        </w:rPr>
      </w:pPr>
    </w:p>
    <w:p>
      <w:pPr>
        <w:spacing w:line="240" w:lineRule="auto"/>
        <w:outlineLvl w:val="0"/>
        <w:rPr>
          <w:rFonts w:ascii="Arial" w:hAnsi="Arial" w:cs="Arial"/>
          <w:sz w:val="24"/>
          <w:szCs w:val="24"/>
        </w:rPr>
      </w:pPr>
    </w:p>
    <w:p>
      <w:pPr>
        <w:spacing w:line="240" w:lineRule="auto"/>
        <w:outlineLvl w:val="0"/>
        <w:rPr>
          <w:rFonts w:ascii="Arial" w:hAnsi="Arial" w:cs="Arial"/>
          <w:sz w:val="24"/>
          <w:szCs w:val="24"/>
        </w:rPr>
      </w:pPr>
    </w:p>
    <w:p>
      <w:pPr>
        <w:pStyle w:val="21"/>
        <w:spacing w:line="240" w:lineRule="auto"/>
        <w:ind w:left="0"/>
        <w:jc w:val="both"/>
        <w:outlineLvl w:val="0"/>
        <w:rPr>
          <w:rFonts w:ascii="Arial" w:hAnsi="Arial" w:cs="Arial"/>
          <w:b/>
          <w:sz w:val="24"/>
          <w:szCs w:val="24"/>
        </w:rPr>
      </w:pPr>
    </w:p>
    <w:p>
      <w:pPr>
        <w:pStyle w:val="21"/>
        <w:spacing w:line="240" w:lineRule="auto"/>
        <w:ind w:left="283"/>
        <w:jc w:val="both"/>
        <w:outlineLvl w:val="0"/>
        <w:rPr>
          <w:rFonts w:ascii="Arial" w:hAnsi="Arial" w:cs="Arial"/>
          <w:b/>
          <w:sz w:val="24"/>
          <w:szCs w:val="24"/>
        </w:rPr>
      </w:pPr>
    </w:p>
    <w:p>
      <w:pPr>
        <w:pStyle w:val="21"/>
        <w:spacing w:line="240" w:lineRule="auto"/>
        <w:ind w:left="283"/>
        <w:jc w:val="both"/>
        <w:outlineLvl w:val="0"/>
        <w:rPr>
          <w:rFonts w:ascii="Arial" w:hAnsi="Arial" w:cs="Arial"/>
          <w:b/>
          <w:sz w:val="24"/>
          <w:szCs w:val="24"/>
        </w:rPr>
      </w:pPr>
    </w:p>
    <w:p>
      <w:pPr>
        <w:pStyle w:val="21"/>
        <w:spacing w:line="240" w:lineRule="auto"/>
        <w:ind w:left="283"/>
        <w:jc w:val="both"/>
        <w:outlineLvl w:val="0"/>
        <w:rPr>
          <w:rFonts w:ascii="Arial" w:hAnsi="Arial" w:cs="Arial"/>
          <w:b/>
          <w:sz w:val="24"/>
          <w:szCs w:val="24"/>
        </w:rPr>
      </w:pPr>
    </w:p>
    <w:p>
      <w:pPr>
        <w:pStyle w:val="21"/>
        <w:spacing w:line="240" w:lineRule="auto"/>
        <w:ind w:left="283"/>
        <w:jc w:val="both"/>
        <w:outlineLvl w:val="0"/>
        <w:rPr>
          <w:rFonts w:ascii="Arial" w:hAnsi="Arial" w:cs="Arial"/>
          <w:b/>
          <w:sz w:val="24"/>
          <w:szCs w:val="24"/>
        </w:rPr>
      </w:pPr>
      <w:r>
        <w:rPr>
          <w:rFonts w:ascii="Arial" w:hAnsi="Arial" w:cs="Arial"/>
          <w:b/>
          <w:sz w:val="24"/>
          <w:szCs w:val="24"/>
        </w:rPr>
        <w:t>Table 2: Diagnostic criteria for LGSS, mLGSS and mNF1 [6].</w:t>
      </w:r>
    </w:p>
    <w:tbl>
      <w:tblPr>
        <w:tblStyle w:val="17"/>
        <w:tblpPr w:leftFromText="180" w:rightFromText="180" w:vertAnchor="text" w:horzAnchor="margin" w:tblpY="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8426"/>
      </w:tblGrid>
      <w:tr>
        <w:tc>
          <w:tcPr>
            <w:tcW w:w="0" w:type="auto"/>
            <w:shd w:val="clear" w:color="auto" w:fill="0070C0"/>
          </w:tcPr>
          <w:p>
            <w:pPr>
              <w:spacing w:before="111" w:after="100" w:afterAutospacing="1" w:line="240" w:lineRule="auto"/>
              <w:rPr>
                <w:rFonts w:ascii="Arial" w:hAnsi="Arial" w:cs="Arial"/>
                <w:b/>
                <w:bCs/>
                <w:sz w:val="20"/>
                <w:szCs w:val="20"/>
              </w:rPr>
            </w:pPr>
            <w:r>
              <w:rPr>
                <w:rFonts w:ascii="Arial" w:hAnsi="Arial" w:cs="Arial"/>
                <w:b/>
                <w:bCs/>
                <w:sz w:val="20"/>
                <w:szCs w:val="20"/>
              </w:rPr>
              <w:t>Condition</w:t>
            </w:r>
          </w:p>
        </w:tc>
        <w:tc>
          <w:tcPr>
            <w:tcW w:w="0" w:type="auto"/>
            <w:shd w:val="clear" w:color="auto" w:fill="0070C0"/>
          </w:tcPr>
          <w:p>
            <w:pPr>
              <w:spacing w:before="111" w:after="100" w:afterAutospacing="1" w:line="240" w:lineRule="auto"/>
              <w:rPr>
                <w:rFonts w:ascii="Arial" w:hAnsi="Arial" w:cs="Arial"/>
                <w:b/>
                <w:bCs/>
                <w:sz w:val="20"/>
                <w:szCs w:val="20"/>
              </w:rPr>
            </w:pPr>
            <w:r>
              <w:rPr>
                <w:rFonts w:ascii="Arial" w:hAnsi="Arial" w:cs="Arial"/>
                <w:b/>
                <w:bCs/>
                <w:sz w:val="20"/>
                <w:szCs w:val="20"/>
              </w:rPr>
              <w:t>Features</w:t>
            </w:r>
          </w:p>
        </w:tc>
      </w:tr>
      <w:tr>
        <w:tc>
          <w:tcPr>
            <w:tcW w:w="0" w:type="auto"/>
            <w:shd w:val="clear" w:color="auto" w:fill="548DD4" w:themeFill="text2" w:themeFillTint="99"/>
          </w:tcPr>
          <w:p>
            <w:pPr>
              <w:spacing w:before="111" w:after="100" w:afterAutospacing="1" w:line="240" w:lineRule="auto"/>
              <w:rPr>
                <w:rFonts w:ascii="Arial" w:hAnsi="Arial" w:cs="Arial"/>
                <w:b/>
                <w:bCs/>
                <w:sz w:val="20"/>
                <w:szCs w:val="20"/>
              </w:rPr>
            </w:pPr>
            <w:r>
              <w:rPr>
                <w:rFonts w:ascii="Arial" w:hAnsi="Arial" w:cs="Arial"/>
                <w:b/>
                <w:bCs/>
                <w:sz w:val="20"/>
                <w:szCs w:val="20"/>
              </w:rPr>
              <w:t>LGSS</w:t>
            </w:r>
          </w:p>
        </w:tc>
        <w:tc>
          <w:tcPr>
            <w:tcW w:w="0" w:type="auto"/>
            <w:shd w:val="clear" w:color="auto" w:fill="FFD85B"/>
          </w:tcPr>
          <w:p>
            <w:pPr>
              <w:rPr>
                <w:rFonts w:ascii="Arial" w:hAnsi="Arial" w:cs="Arial"/>
                <w:sz w:val="20"/>
                <w:szCs w:val="20"/>
              </w:rPr>
            </w:pPr>
            <w:r>
              <w:rPr>
                <w:rFonts w:ascii="Arial" w:hAnsi="Arial" w:cs="Arial"/>
                <w:sz w:val="20"/>
                <w:szCs w:val="20"/>
              </w:rPr>
              <w:t>Two or more of the following:</w:t>
            </w:r>
          </w:p>
          <w:p>
            <w:pPr>
              <w:rPr>
                <w:rFonts w:ascii="Arial" w:hAnsi="Arial" w:cs="Arial"/>
                <w:sz w:val="20"/>
                <w:szCs w:val="20"/>
              </w:rPr>
            </w:pPr>
            <w:r>
              <w:rPr>
                <w:rFonts w:ascii="Arial" w:hAnsi="Arial" w:cs="Arial"/>
                <w:sz w:val="20"/>
                <w:szCs w:val="20"/>
              </w:rPr>
              <w:t xml:space="preserve">1- ≥ 6 CALMs bilaterally distributed and no other NF1-related diagnostic criteria except for axillary or inguinal freckling </w:t>
            </w:r>
          </w:p>
          <w:p>
            <w:pPr>
              <w:rPr>
                <w:rFonts w:ascii="Arial" w:hAnsi="Arial" w:cs="Arial"/>
                <w:sz w:val="20"/>
                <w:szCs w:val="20"/>
              </w:rPr>
            </w:pPr>
            <w:r>
              <w:rPr>
                <w:rFonts w:ascii="Arial" w:hAnsi="Arial" w:cs="Arial"/>
                <w:sz w:val="20"/>
                <w:szCs w:val="20"/>
              </w:rPr>
              <w:t xml:space="preserve">2- SPRED1 gene disease- variant with a fraction of 50% in apparently normal tissue </w:t>
            </w:r>
          </w:p>
          <w:p>
            <w:pPr>
              <w:rPr>
                <w:rFonts w:ascii="Arial" w:hAnsi="Arial" w:cs="Arial"/>
                <w:sz w:val="20"/>
                <w:szCs w:val="20"/>
              </w:rPr>
            </w:pPr>
            <w:r>
              <w:rPr>
                <w:rFonts w:ascii="Arial" w:hAnsi="Arial" w:cs="Arial"/>
                <w:sz w:val="20"/>
                <w:szCs w:val="20"/>
              </w:rPr>
              <w:t>3-Parent with LGSS</w:t>
            </w:r>
          </w:p>
        </w:tc>
      </w:tr>
      <w:tr>
        <w:tc>
          <w:tcPr>
            <w:tcW w:w="0" w:type="auto"/>
            <w:shd w:val="clear" w:color="auto" w:fill="548DD4" w:themeFill="text2" w:themeFillTint="99"/>
          </w:tcPr>
          <w:p>
            <w:pPr>
              <w:spacing w:before="111" w:after="100" w:afterAutospacing="1" w:line="240" w:lineRule="auto"/>
              <w:rPr>
                <w:rFonts w:ascii="Arial" w:hAnsi="Arial" w:cs="Arial"/>
                <w:b/>
                <w:bCs/>
                <w:sz w:val="20"/>
                <w:szCs w:val="20"/>
              </w:rPr>
            </w:pPr>
            <w:r>
              <w:rPr>
                <w:rFonts w:ascii="Arial" w:hAnsi="Arial" w:cs="Arial"/>
                <w:b/>
                <w:bCs/>
                <w:sz w:val="20"/>
                <w:szCs w:val="20"/>
              </w:rPr>
              <w:t>mLGSS</w:t>
            </w:r>
          </w:p>
        </w:tc>
        <w:tc>
          <w:tcPr>
            <w:tcW w:w="0" w:type="auto"/>
          </w:tcPr>
          <w:p>
            <w:pPr>
              <w:rPr>
                <w:rFonts w:ascii="Arial" w:hAnsi="Arial" w:cs="Arial"/>
                <w:sz w:val="20"/>
                <w:szCs w:val="20"/>
              </w:rPr>
            </w:pPr>
            <w:r>
              <w:rPr>
                <w:rFonts w:ascii="Arial" w:hAnsi="Arial" w:cs="Arial"/>
                <w:sz w:val="20"/>
                <w:szCs w:val="20"/>
              </w:rPr>
              <w:t>One or more of the following:</w:t>
            </w:r>
          </w:p>
          <w:p>
            <w:pPr>
              <w:numPr>
                <w:ilvl w:val="0"/>
                <w:numId w:val="3"/>
              </w:numPr>
              <w:rPr>
                <w:rFonts w:ascii="Arial" w:hAnsi="Arial" w:cs="Arial"/>
                <w:sz w:val="20"/>
                <w:szCs w:val="20"/>
              </w:rPr>
            </w:pPr>
            <w:r>
              <w:rPr>
                <w:rFonts w:ascii="Arial" w:hAnsi="Arial" w:cs="Arial"/>
                <w:sz w:val="20"/>
                <w:szCs w:val="20"/>
              </w:rPr>
              <w:t xml:space="preserve"> ≥ 6 CALMs and SPRED1 disease -variant with a fraction of significantly less than 50% in apparently normal tissue </w:t>
            </w:r>
          </w:p>
          <w:p>
            <w:pPr>
              <w:rPr>
                <w:rFonts w:ascii="Arial" w:hAnsi="Arial" w:cs="Arial"/>
                <w:sz w:val="20"/>
                <w:szCs w:val="20"/>
              </w:rPr>
            </w:pPr>
            <w:r>
              <w:rPr>
                <w:rFonts w:ascii="Arial" w:hAnsi="Arial" w:cs="Arial"/>
                <w:sz w:val="20"/>
                <w:szCs w:val="20"/>
              </w:rPr>
              <w:t>2- SPRED1 disease -variant in two independent affected tissues (in the absence of it in unaffected tissues)</w:t>
            </w:r>
          </w:p>
          <w:p>
            <w:pPr>
              <w:spacing w:before="111" w:after="100" w:afterAutospacing="1" w:line="240" w:lineRule="auto"/>
              <w:rPr>
                <w:rFonts w:ascii="Arial" w:hAnsi="Arial" w:cs="Arial"/>
                <w:sz w:val="20"/>
                <w:szCs w:val="20"/>
              </w:rPr>
            </w:pPr>
            <w:r>
              <w:rPr>
                <w:rFonts w:ascii="Arial" w:hAnsi="Arial" w:cs="Arial"/>
                <w:sz w:val="20"/>
                <w:szCs w:val="20"/>
              </w:rPr>
              <w:t>3-A clearly segmental distribution of CALMs AND a child fulfilling the criteria for LGSS.</w:t>
            </w:r>
          </w:p>
        </w:tc>
      </w:tr>
      <w:tr>
        <w:tc>
          <w:tcPr>
            <w:tcW w:w="0" w:type="auto"/>
            <w:shd w:val="clear" w:color="auto" w:fill="548DD4" w:themeFill="text2" w:themeFillTint="99"/>
          </w:tcPr>
          <w:p>
            <w:pPr>
              <w:spacing w:before="111" w:after="100" w:afterAutospacing="1" w:line="240" w:lineRule="auto"/>
              <w:rPr>
                <w:rFonts w:ascii="Arial" w:hAnsi="Arial" w:cs="Arial"/>
                <w:b/>
                <w:bCs/>
                <w:sz w:val="20"/>
                <w:szCs w:val="20"/>
              </w:rPr>
            </w:pPr>
            <w:r>
              <w:rPr>
                <w:rFonts w:ascii="Arial" w:hAnsi="Arial" w:cs="Arial"/>
                <w:b/>
                <w:bCs/>
                <w:sz w:val="20"/>
                <w:szCs w:val="20"/>
              </w:rPr>
              <w:t>mNF1</w:t>
            </w:r>
          </w:p>
        </w:tc>
        <w:tc>
          <w:tcPr>
            <w:tcW w:w="0" w:type="auto"/>
            <w:shd w:val="clear" w:color="auto" w:fill="FFD85B"/>
          </w:tcPr>
          <w:p>
            <w:pPr>
              <w:rPr>
                <w:rFonts w:ascii="Arial" w:hAnsi="Arial" w:cs="Arial"/>
                <w:sz w:val="20"/>
                <w:szCs w:val="20"/>
              </w:rPr>
            </w:pPr>
            <w:r>
              <w:rPr>
                <w:rFonts w:ascii="Arial" w:hAnsi="Arial" w:cs="Arial"/>
                <w:sz w:val="20"/>
                <w:szCs w:val="20"/>
              </w:rPr>
              <w:t>One or more of the following:</w:t>
            </w:r>
          </w:p>
          <w:p>
            <w:pPr>
              <w:numPr>
                <w:ilvl w:val="0"/>
                <w:numId w:val="4"/>
              </w:numPr>
              <w:rPr>
                <w:rFonts w:ascii="Arial" w:hAnsi="Arial" w:cs="Arial"/>
                <w:sz w:val="20"/>
                <w:szCs w:val="20"/>
              </w:rPr>
            </w:pPr>
            <w:r>
              <w:rPr>
                <w:rFonts w:ascii="Arial" w:hAnsi="Arial" w:cs="Arial"/>
                <w:sz w:val="20"/>
                <w:szCs w:val="20"/>
              </w:rPr>
              <w:t>NF1 disease- variant with a fraction of significantly &lt; 50% in apparently normal tissue AND one other NF1 diagnostic criterion (except family history criterion)</w:t>
            </w:r>
          </w:p>
          <w:p>
            <w:pPr>
              <w:rPr>
                <w:rFonts w:ascii="Arial" w:hAnsi="Arial" w:cs="Arial"/>
                <w:sz w:val="20"/>
                <w:szCs w:val="20"/>
              </w:rPr>
            </w:pPr>
            <w:r>
              <w:rPr>
                <w:rFonts w:ascii="Arial" w:hAnsi="Arial" w:cs="Arial"/>
                <w:sz w:val="20"/>
                <w:szCs w:val="20"/>
              </w:rPr>
              <w:t>2- NF1 disease-variant in two anatomically independent affected tissues (in the absence of it in unaffected tissue)</w:t>
            </w:r>
          </w:p>
          <w:p>
            <w:pPr>
              <w:rPr>
                <w:rFonts w:ascii="Arial" w:hAnsi="Arial" w:cs="Arial"/>
                <w:sz w:val="20"/>
                <w:szCs w:val="20"/>
              </w:rPr>
            </w:pPr>
            <w:r>
              <w:rPr>
                <w:rFonts w:ascii="Arial" w:hAnsi="Arial" w:cs="Arial"/>
                <w:sz w:val="20"/>
                <w:szCs w:val="20"/>
              </w:rPr>
              <w:t>3-A clearly segmental distribution of CALMs or cutaneous neurofibromas AND:</w:t>
            </w:r>
          </w:p>
          <w:p>
            <w:pPr>
              <w:rPr>
                <w:rFonts w:ascii="Arial" w:hAnsi="Arial" w:cs="Arial"/>
                <w:sz w:val="20"/>
                <w:szCs w:val="20"/>
              </w:rPr>
            </w:pPr>
            <w:r>
              <w:rPr>
                <w:rFonts w:ascii="Arial" w:hAnsi="Arial" w:cs="Arial"/>
                <w:sz w:val="20"/>
                <w:szCs w:val="20"/>
              </w:rPr>
              <w:t>a. Another NF1 diagnostic criterion (except a family history criterion)</w:t>
            </w:r>
          </w:p>
          <w:p>
            <w:pPr>
              <w:rPr>
                <w:rFonts w:ascii="Arial" w:hAnsi="Arial" w:cs="Arial"/>
                <w:sz w:val="20"/>
                <w:szCs w:val="20"/>
              </w:rPr>
            </w:pPr>
            <w:r>
              <w:rPr>
                <w:rFonts w:ascii="Arial" w:hAnsi="Arial" w:cs="Arial"/>
                <w:sz w:val="20"/>
                <w:szCs w:val="20"/>
              </w:rPr>
              <w:t>or</w:t>
            </w:r>
          </w:p>
          <w:p>
            <w:pPr>
              <w:rPr>
                <w:rFonts w:ascii="Arial" w:hAnsi="Arial" w:cs="Arial"/>
                <w:sz w:val="20"/>
                <w:szCs w:val="20"/>
              </w:rPr>
            </w:pPr>
            <w:r>
              <w:rPr>
                <w:rFonts w:ascii="Arial" w:hAnsi="Arial" w:cs="Arial"/>
                <w:sz w:val="20"/>
                <w:szCs w:val="20"/>
              </w:rPr>
              <w:t>b. Child fulfilling diagnostic criteria for NF1</w:t>
            </w:r>
          </w:p>
          <w:p>
            <w:pPr>
              <w:rPr>
                <w:rFonts w:ascii="Arial" w:hAnsi="Arial" w:cs="Arial"/>
                <w:sz w:val="20"/>
                <w:szCs w:val="20"/>
              </w:rPr>
            </w:pPr>
            <w:r>
              <w:rPr>
                <w:rFonts w:ascii="Arial" w:hAnsi="Arial" w:cs="Arial"/>
                <w:sz w:val="20"/>
                <w:szCs w:val="20"/>
              </w:rPr>
              <w:t>4-Only one NF1 diagnostic criterion from the following list: freckling in the axillary and inguinal region, optic pathway glioma, two or more Lisch nodules or two or more choroidal abnormalities, distinctive osseous lesion typical for NF1, two or more neurofibromas or one plexiform neurofibroma AND a child fulfilling the criteria for NF1</w:t>
            </w:r>
          </w:p>
        </w:tc>
      </w:tr>
    </w:tbl>
    <w:p>
      <w:pPr>
        <w:spacing w:line="240" w:lineRule="auto"/>
        <w:outlineLvl w:val="0"/>
        <w:rPr>
          <w:rFonts w:ascii="Arial" w:hAnsi="Arial" w:cs="Arial"/>
          <w:b/>
          <w:sz w:val="24"/>
          <w:szCs w:val="24"/>
        </w:rPr>
      </w:pPr>
    </w:p>
    <w:p>
      <w:pPr>
        <w:pBdr>
          <w:bottom w:val="dotted" w:color="CCCCCC" w:sz="4" w:space="0"/>
        </w:pBdr>
        <w:shd w:val="clear" w:color="auto" w:fill="FFFFFF"/>
        <w:spacing w:before="111" w:after="100" w:afterAutospacing="1" w:line="240" w:lineRule="auto"/>
        <w:rPr>
          <w:rFonts w:ascii="Arial" w:hAnsi="Arial" w:eastAsia="Times New Roman" w:cs="Arial"/>
          <w:sz w:val="24"/>
          <w:szCs w:val="24"/>
          <w:lang w:val="en-GB" w:eastAsia="en-GB"/>
        </w:rPr>
      </w:pPr>
    </w:p>
    <w:p>
      <w:pPr>
        <w:spacing w:line="240" w:lineRule="auto"/>
        <w:outlineLvl w:val="0"/>
        <w:rPr>
          <w:rFonts w:ascii="Arial" w:hAnsi="Arial" w:cs="Arial"/>
          <w:b/>
          <w:sz w:val="24"/>
          <w:szCs w:val="24"/>
        </w:rPr>
      </w:pPr>
    </w:p>
    <w:p>
      <w:pPr>
        <w:spacing w:line="240" w:lineRule="auto"/>
        <w:outlineLvl w:val="0"/>
        <w:rPr>
          <w:rFonts w:ascii="Arial" w:hAnsi="Arial" w:cs="Arial"/>
          <w:b/>
          <w:sz w:val="24"/>
          <w:szCs w:val="24"/>
        </w:rPr>
      </w:pPr>
    </w:p>
    <w:p>
      <w:pPr>
        <w:spacing w:line="240" w:lineRule="auto"/>
        <w:outlineLvl w:val="0"/>
        <w:rPr>
          <w:rFonts w:ascii="Arial" w:hAnsi="Arial" w:cs="Arial"/>
          <w:b/>
          <w:sz w:val="24"/>
          <w:szCs w:val="24"/>
        </w:rPr>
      </w:pPr>
    </w:p>
    <w:p>
      <w:pPr>
        <w:spacing w:line="240" w:lineRule="auto"/>
        <w:outlineLvl w:val="0"/>
        <w:rPr>
          <w:rFonts w:ascii="Arial" w:hAnsi="Arial" w:cs="Arial"/>
          <w:b/>
          <w:sz w:val="24"/>
          <w:szCs w:val="24"/>
        </w:rPr>
      </w:pPr>
      <w:r>
        <w:rPr>
          <w:rFonts w:ascii="Arial" w:hAnsi="Arial" w:cs="Arial"/>
          <w:b/>
          <w:sz w:val="24"/>
          <w:szCs w:val="24"/>
        </w:rPr>
        <w:t>Natural history of NF1</w:t>
      </w:r>
    </w:p>
    <w:p>
      <w:pPr>
        <w:spacing w:line="240" w:lineRule="auto"/>
        <w:ind w:firstLine="720"/>
        <w:jc w:val="both"/>
        <w:outlineLvl w:val="0"/>
        <w:rPr>
          <w:rFonts w:ascii="Arial" w:hAnsi="Arial" w:cs="Arial"/>
          <w:sz w:val="24"/>
          <w:szCs w:val="24"/>
        </w:rPr>
      </w:pPr>
      <w:r>
        <w:rPr>
          <w:rFonts w:ascii="Arial" w:hAnsi="Arial" w:cs="Arial"/>
          <w:sz w:val="24"/>
          <w:szCs w:val="24"/>
        </w:rPr>
        <w:t xml:space="preserve">NF1 is a progressive condition and features accumulate over time. The exact progression cannot be described as it varies greatly between individuals. However certain features are more common in different age groups. We have produced a timeline to illustrate the natural progression of the typical features, providing a guide on which areas need emphasis across a range of ages (Figure 1). </w:t>
      </w:r>
    </w:p>
    <w:p>
      <w:pPr>
        <w:spacing w:line="240" w:lineRule="auto"/>
        <w:jc w:val="both"/>
        <w:outlineLvl w:val="0"/>
        <w:rPr>
          <w:rFonts w:ascii="Arial" w:hAnsi="Arial" w:cs="Arial"/>
          <w:sz w:val="24"/>
          <w:szCs w:val="24"/>
        </w:rPr>
      </w:pPr>
    </w:p>
    <w:p>
      <w:pPr>
        <w:spacing w:line="240" w:lineRule="auto"/>
        <w:jc w:val="both"/>
        <w:outlineLvl w:val="0"/>
        <w:rPr>
          <w:rFonts w:ascii="Arial" w:hAnsi="Arial" w:cs="Arial"/>
          <w:sz w:val="24"/>
          <w:szCs w:val="24"/>
        </w:rPr>
      </w:pPr>
      <w:r>
        <w:rPr>
          <w:rFonts w:ascii="Arial" w:hAnsi="Arial" w:cs="Arial"/>
          <w:b/>
          <w:sz w:val="24"/>
          <w:szCs w:val="24"/>
        </w:rPr>
        <w:t>An overview of what an annual review should include</w:t>
      </w:r>
    </w:p>
    <w:p>
      <w:pPr>
        <w:spacing w:line="240" w:lineRule="auto"/>
        <w:jc w:val="both"/>
        <w:outlineLvl w:val="0"/>
        <w:rPr>
          <w:rFonts w:ascii="Arial" w:hAnsi="Arial" w:cs="Arial"/>
          <w:sz w:val="24"/>
          <w:szCs w:val="24"/>
        </w:rPr>
      </w:pPr>
      <w:r>
        <w:rPr>
          <w:rFonts w:ascii="Arial" w:hAnsi="Arial" w:cs="Arial"/>
          <w:sz w:val="24"/>
          <w:szCs w:val="24"/>
        </w:rPr>
        <w:tab/>
      </w:r>
      <w:r>
        <w:rPr>
          <w:rFonts w:ascii="Arial" w:hAnsi="Arial" w:cs="Arial"/>
          <w:sz w:val="24"/>
          <w:szCs w:val="24"/>
        </w:rPr>
        <w:t>The annual review should monitor for key symptoms and complications. Symptoms and signs may be elicited which indicate referral, but other than ophthalmological review, tertiary specialists need not routinely be involved. Baseline neuroimaging in asymptomatic children with NF1 and normal vision is not recommended [9,10] due to Lack of correlation between MRI and visual outcomes[11]. Central brain imaging should be guided by clinical indicators ie concerns regarding vision, growth trajectory, puberty, seizures, headaches or history suggestive of raised ICP, history suggestive of vascular events, focal neurological deficit .</w:t>
      </w:r>
    </w:p>
    <w:p>
      <w:pPr>
        <w:pStyle w:val="21"/>
        <w:spacing w:line="240" w:lineRule="auto"/>
        <w:ind w:left="0" w:firstLine="851"/>
        <w:jc w:val="both"/>
        <w:rPr>
          <w:rFonts w:ascii="Arial" w:hAnsi="Arial" w:cs="Arial"/>
          <w:sz w:val="24"/>
          <w:szCs w:val="24"/>
        </w:rPr>
      </w:pPr>
      <w:r>
        <w:rPr>
          <w:rFonts w:ascii="Arial" w:hAnsi="Arial" w:cs="Arial"/>
          <w:sz w:val="24"/>
          <w:szCs w:val="24"/>
        </w:rPr>
        <w:t>The general consensus in the UK is that imaging is not required in children with NF1 to monitor for complications as it does not change management. It should be reserved for when there is diagnostic uncertainty or emergent complications. Imaging such as radiological survey for bone lesions or of plexiform neurofibromas, and echocardiography for congenital cardiac lesions, are unnecessary in the absence of symptoms and signs. [12-14]</w:t>
      </w:r>
      <w:r>
        <w:rPr>
          <w:rFonts w:ascii="Arial" w:hAnsi="Arial" w:cs="Arial"/>
          <w:iCs/>
          <w:sz w:val="24"/>
          <w:szCs w:val="24"/>
        </w:rPr>
        <w:t>.</w:t>
      </w:r>
      <w:r>
        <w:rPr>
          <w:rFonts w:ascii="Arial" w:hAnsi="Arial" w:cs="Arial"/>
          <w:sz w:val="24"/>
          <w:szCs w:val="24"/>
        </w:rPr>
        <w:t xml:space="preserve"> </w:t>
      </w:r>
    </w:p>
    <w:p>
      <w:pPr>
        <w:pStyle w:val="21"/>
        <w:spacing w:line="240" w:lineRule="auto"/>
        <w:ind w:left="0"/>
        <w:jc w:val="both"/>
        <w:rPr>
          <w:rFonts w:ascii="Arial" w:hAnsi="Arial" w:cs="Arial"/>
          <w:sz w:val="24"/>
          <w:szCs w:val="24"/>
        </w:rPr>
      </w:pPr>
    </w:p>
    <w:p>
      <w:pPr>
        <w:pStyle w:val="21"/>
        <w:spacing w:line="240" w:lineRule="auto"/>
        <w:ind w:left="0"/>
        <w:jc w:val="both"/>
        <w:rPr>
          <w:rFonts w:ascii="Arial" w:hAnsi="Arial" w:cs="Arial"/>
          <w:sz w:val="24"/>
          <w:szCs w:val="24"/>
        </w:rPr>
      </w:pPr>
      <w:r>
        <w:rPr>
          <w:rFonts w:ascii="Arial" w:hAnsi="Arial" w:cs="Arial"/>
          <w:sz w:val="24"/>
          <w:szCs w:val="24"/>
        </w:rPr>
        <w:t xml:space="preserve">UBOs - “unidentified bright objects”, alternatively called </w:t>
      </w:r>
      <w:r>
        <w:rPr>
          <w:rStyle w:val="16"/>
          <w:rFonts w:ascii="Arial" w:hAnsi="Arial" w:cs="Arial"/>
          <w:b w:val="0"/>
          <w:sz w:val="24"/>
          <w:szCs w:val="24"/>
          <w:lang w:val="en"/>
        </w:rPr>
        <w:t>focal areas of signal intensity (FASI)</w:t>
      </w:r>
      <w:r>
        <w:rPr>
          <w:rFonts w:ascii="Arial" w:hAnsi="Arial" w:cs="Arial"/>
          <w:sz w:val="24"/>
          <w:szCs w:val="24"/>
          <w:lang w:val="en"/>
        </w:rPr>
        <w:t xml:space="preserve"> or </w:t>
      </w:r>
      <w:r>
        <w:rPr>
          <w:rStyle w:val="16"/>
          <w:rFonts w:ascii="Arial" w:hAnsi="Arial" w:cs="Arial"/>
          <w:b w:val="0"/>
          <w:sz w:val="24"/>
          <w:szCs w:val="24"/>
          <w:lang w:val="en"/>
        </w:rPr>
        <w:t>focal abnormal signal intensity</w:t>
      </w:r>
      <w:r>
        <w:rPr>
          <w:rFonts w:ascii="Arial" w:hAnsi="Arial" w:cs="Arial"/>
          <w:sz w:val="24"/>
          <w:szCs w:val="24"/>
          <w:lang w:val="en"/>
        </w:rPr>
        <w:t>,</w:t>
      </w:r>
      <w:r>
        <w:rPr>
          <w:rFonts w:ascii="Arial" w:hAnsi="Arial" w:cs="Arial"/>
          <w:sz w:val="24"/>
          <w:szCs w:val="24"/>
        </w:rPr>
        <w:t xml:space="preserve"> seen on brain MRI imaging may aid diagnosis, but currently these do not form part of the diagnostic criteria [15]. A retrospective cohort study by King et al showed no difference in outcome between patients with OPG, who presented because of symptoms or ophthalmic signs, and asymptomatic patients identified as a result of MRI [11]. </w:t>
      </w:r>
      <w:r>
        <w:rPr>
          <w:rFonts w:ascii="Arial" w:hAnsi="Arial" w:cs="Arial"/>
          <w:iCs/>
          <w:sz w:val="24"/>
          <w:szCs w:val="24"/>
        </w:rPr>
        <w:t>Early diagnosis at the asymptomatic stage does not change management. MRI may require a general anaesthetic</w:t>
      </w:r>
      <w:r>
        <w:rPr>
          <w:rFonts w:ascii="Arial" w:hAnsi="Arial" w:cs="Arial"/>
          <w:sz w:val="24"/>
          <w:szCs w:val="24"/>
        </w:rPr>
        <w:t xml:space="preserve"> and the knowledge that a child has a “brain tumour” may cause significant anxiety and lead to pressure for repeated scans - which again may not change clinical management. The consensus therefore remains that baseline MRI and screening with MRI for OPGs is not warranted [12,14]. It should be performed for OPG detection if a child is unable to cooperate with ophthalmic assessment</w:t>
      </w:r>
      <w:r>
        <w:rPr>
          <w:rFonts w:ascii="Arial" w:hAnsi="Arial" w:cs="Arial"/>
          <w:iCs/>
          <w:sz w:val="24"/>
          <w:szCs w:val="24"/>
        </w:rPr>
        <w:t>.</w:t>
      </w:r>
      <w:r>
        <w:rPr>
          <w:rFonts w:ascii="Arial" w:hAnsi="Arial" w:cs="Arial"/>
          <w:sz w:val="24"/>
          <w:szCs w:val="24"/>
        </w:rPr>
        <w:t xml:space="preserve"> </w:t>
      </w:r>
    </w:p>
    <w:p>
      <w:pPr>
        <w:rPr>
          <w:rFonts w:eastAsia="Times New Roman"/>
          <w:lang w:val="en-GB" w:eastAsia="en-GB"/>
        </w:rPr>
      </w:pPr>
      <w:r>
        <w:rPr>
          <w:rFonts w:ascii="Arial" w:hAnsi="Arial" w:cs="Arial"/>
          <w:sz w:val="24"/>
          <w:szCs w:val="24"/>
        </w:rPr>
        <w:tab/>
      </w:r>
      <w:r>
        <w:rPr>
          <w:rFonts w:ascii="Arial" w:hAnsi="Arial" w:cs="Arial"/>
          <w:sz w:val="24"/>
          <w:szCs w:val="24"/>
        </w:rPr>
        <w:t xml:space="preserve">The annual review affords a vital opportunity to offer ongoing education and support to the child and their family, while allowing time to elicit their specific concerns and questions. Parents and children should, be involved in decisions about investigation and treatment. Some families will be informed and often have concerns that have arisen from what they have read. These issues need to be discussed. Families and teachers should be directed to the 2 main UK resources; </w:t>
      </w:r>
      <w:r>
        <w:fldChar w:fldCharType="begin"/>
      </w:r>
      <w:r>
        <w:instrText xml:space="preserve"> HYPERLINK "https://nervetumours.org.uk/" </w:instrText>
      </w:r>
      <w:r>
        <w:fldChar w:fldCharType="separate"/>
      </w:r>
      <w:r>
        <w:rPr>
          <w:rStyle w:val="48"/>
          <w:rFonts w:ascii="Arial" w:hAnsi="Arial" w:cs="Arial"/>
          <w:sz w:val="24"/>
          <w:szCs w:val="24"/>
        </w:rPr>
        <w:t>https://nervetumours.org.uk/</w:t>
      </w:r>
      <w:r>
        <w:rPr>
          <w:rStyle w:val="48"/>
          <w:rFonts w:ascii="Arial" w:hAnsi="Arial" w:cs="Arial"/>
          <w:sz w:val="24"/>
          <w:szCs w:val="24"/>
        </w:rPr>
        <w:fldChar w:fldCharType="end"/>
      </w:r>
      <w:r>
        <w:rPr>
          <w:rFonts w:ascii="Arial" w:hAnsi="Arial" w:cs="Arial"/>
          <w:sz w:val="24"/>
          <w:szCs w:val="24"/>
        </w:rPr>
        <w:t xml:space="preserve"> and </w:t>
      </w:r>
      <w:r>
        <w:fldChar w:fldCharType="begin"/>
      </w:r>
      <w:r>
        <w:instrText xml:space="preserve"> HYPERLINK "https://www.childhoodtumortrust.org.uk/" </w:instrText>
      </w:r>
      <w:r>
        <w:fldChar w:fldCharType="separate"/>
      </w:r>
      <w:r>
        <w:rPr>
          <w:rStyle w:val="48"/>
          <w:rFonts w:ascii="Arial" w:hAnsi="Arial" w:cs="Arial"/>
          <w:sz w:val="24"/>
          <w:szCs w:val="24"/>
        </w:rPr>
        <w:t>https://www.childhoodtumortrust.org.uk/</w:t>
      </w:r>
      <w:r>
        <w:rPr>
          <w:rStyle w:val="48"/>
          <w:rFonts w:ascii="Arial" w:hAnsi="Arial" w:cs="Arial"/>
          <w:sz w:val="24"/>
          <w:szCs w:val="24"/>
        </w:rPr>
        <w:fldChar w:fldCharType="end"/>
      </w:r>
      <w:r>
        <w:rPr>
          <w:rFonts w:ascii="Arial" w:hAnsi="Arial" w:cs="Arial"/>
          <w:sz w:val="24"/>
          <w:szCs w:val="24"/>
        </w:rPr>
        <w:t xml:space="preserve"> as well as the main US site; </w:t>
      </w:r>
      <w:r>
        <w:fldChar w:fldCharType="begin"/>
      </w:r>
      <w:r>
        <w:instrText xml:space="preserve"> HYPERLINK "https://www.ctf.org/" </w:instrText>
      </w:r>
      <w:r>
        <w:fldChar w:fldCharType="separate"/>
      </w:r>
      <w:r>
        <w:rPr>
          <w:rStyle w:val="48"/>
          <w:rFonts w:ascii="Arial" w:hAnsi="Arial" w:cs="Arial"/>
          <w:sz w:val="24"/>
          <w:szCs w:val="24"/>
        </w:rPr>
        <w:t>https://www.ctf.org/</w:t>
      </w:r>
      <w:r>
        <w:rPr>
          <w:rStyle w:val="48"/>
          <w:rFonts w:ascii="Arial" w:hAnsi="Arial" w:cs="Arial"/>
          <w:sz w:val="24"/>
          <w:szCs w:val="24"/>
        </w:rPr>
        <w:fldChar w:fldCharType="end"/>
      </w:r>
    </w:p>
    <w:p>
      <w:pPr>
        <w:spacing w:line="240" w:lineRule="auto"/>
        <w:outlineLvl w:val="0"/>
        <w:rPr>
          <w:rFonts w:ascii="Arial" w:hAnsi="Arial" w:cs="Arial"/>
          <w:sz w:val="24"/>
          <w:szCs w:val="24"/>
        </w:rPr>
      </w:pPr>
      <w:r>
        <w:rPr>
          <w:rFonts w:ascii="Arial" w:hAnsi="Arial" w:cs="Arial"/>
          <w:sz w:val="24"/>
          <w:szCs w:val="24"/>
        </w:rPr>
        <w:tab/>
      </w:r>
    </w:p>
    <w:p>
      <w:pPr>
        <w:spacing w:line="240" w:lineRule="auto"/>
        <w:outlineLvl w:val="0"/>
        <w:rPr>
          <w:rFonts w:ascii="Arial" w:hAnsi="Arial" w:cs="Arial"/>
          <w:sz w:val="24"/>
          <w:szCs w:val="24"/>
        </w:rPr>
      </w:pPr>
    </w:p>
    <w:p>
      <w:pPr>
        <w:rPr>
          <w:rFonts w:eastAsia="Times New Roman"/>
          <w:lang w:val="en-GB" w:eastAsia="en-GB"/>
        </w:rPr>
      </w:pPr>
      <w:r>
        <w:rPr>
          <w:rFonts w:ascii="Arial" w:hAnsi="Arial" w:cs="Arial"/>
          <w:sz w:val="24"/>
          <w:szCs w:val="24"/>
        </w:rPr>
        <w:t xml:space="preserve">        An annual review of a patient with neurofibromatosis type 1 involves a systematic review of symptoms and signs. We provide figures 2 and 3 to act as a checklist.</w:t>
      </w:r>
    </w:p>
    <w:p>
      <w:pPr>
        <w:spacing w:line="240" w:lineRule="auto"/>
        <w:outlineLvl w:val="0"/>
        <w:rPr>
          <w:rFonts w:ascii="Arial" w:hAnsi="Arial" w:cs="Arial"/>
          <w:sz w:val="24"/>
          <w:szCs w:val="24"/>
        </w:rPr>
      </w:pPr>
      <w:r>
        <w:rPr>
          <w:rFonts w:ascii="Arial" w:hAnsi="Arial" w:cs="Arial"/>
          <w:sz w:val="24"/>
          <w:szCs w:val="24"/>
        </w:rPr>
        <w:tab/>
      </w:r>
    </w:p>
    <w:p>
      <w:pPr>
        <w:pStyle w:val="21"/>
        <w:spacing w:line="240" w:lineRule="auto"/>
        <w:ind w:left="0"/>
        <w:jc w:val="both"/>
        <w:rPr>
          <w:rFonts w:ascii="Arial" w:hAnsi="Arial" w:cs="Arial"/>
          <w:sz w:val="24"/>
          <w:szCs w:val="24"/>
        </w:rPr>
      </w:pPr>
      <w:r>
        <w:rPr>
          <w:rFonts w:ascii="Arial" w:hAnsi="Arial" w:cs="Arial"/>
          <w:b/>
          <w:sz w:val="24"/>
          <w:szCs w:val="24"/>
        </w:rPr>
        <w:t>Dermatology</w:t>
      </w:r>
    </w:p>
    <w:p>
      <w:pPr>
        <w:pStyle w:val="21"/>
        <w:spacing w:line="240" w:lineRule="auto"/>
        <w:jc w:val="both"/>
        <w:rPr>
          <w:rFonts w:ascii="Arial" w:hAnsi="Arial" w:cs="Arial"/>
          <w:b/>
          <w:sz w:val="24"/>
          <w:szCs w:val="24"/>
        </w:rPr>
      </w:pPr>
    </w:p>
    <w:p>
      <w:pPr>
        <w:pStyle w:val="21"/>
        <w:spacing w:line="240" w:lineRule="auto"/>
        <w:ind w:left="0" w:firstLine="851"/>
        <w:jc w:val="both"/>
        <w:rPr>
          <w:rFonts w:ascii="Arial" w:hAnsi="Arial" w:cs="Arial"/>
          <w:sz w:val="24"/>
          <w:szCs w:val="24"/>
          <w:lang w:val="en-GB"/>
        </w:rPr>
      </w:pPr>
      <w:r>
        <w:rPr>
          <w:rFonts w:ascii="Arial" w:hAnsi="Arial" w:cs="Arial"/>
          <w:sz w:val="24"/>
          <w:szCs w:val="24"/>
        </w:rPr>
        <w:t xml:space="preserve">The dermatological manifestations include CALMs, skin fold freckling, neurofibromas which may be cutaneous, subcutaneous or plexiform, and xanthogranulomas. clinicians should be cautious in assessment of population with only pigmentary finding as there are other genetic conditions with overlyng pigmentary finding, such as mNF1, LGSS, mLGSS and constitutional mismatch repair deficiency syndrome. </w:t>
      </w:r>
    </w:p>
    <w:p>
      <w:pPr>
        <w:pStyle w:val="21"/>
        <w:spacing w:line="240" w:lineRule="auto"/>
        <w:ind w:left="0" w:firstLine="851"/>
        <w:jc w:val="both"/>
        <w:rPr>
          <w:rFonts w:ascii="Arial" w:hAnsi="Arial" w:cs="Arial"/>
          <w:sz w:val="24"/>
          <w:szCs w:val="24"/>
          <w:lang w:val="en-GB"/>
        </w:rPr>
      </w:pPr>
    </w:p>
    <w:p>
      <w:pPr>
        <w:pStyle w:val="21"/>
        <w:spacing w:line="240" w:lineRule="auto"/>
        <w:ind w:left="0"/>
        <w:jc w:val="both"/>
        <w:rPr>
          <w:rFonts w:ascii="Arial" w:hAnsi="Arial" w:cs="Arial"/>
          <w:sz w:val="24"/>
          <w:szCs w:val="24"/>
        </w:rPr>
      </w:pPr>
    </w:p>
    <w:p>
      <w:pPr>
        <w:pStyle w:val="21"/>
        <w:ind w:left="0" w:firstLine="851"/>
        <w:jc w:val="both"/>
        <w:rPr>
          <w:rFonts w:ascii="Arial" w:hAnsi="Arial" w:cs="Arial"/>
          <w:sz w:val="24"/>
          <w:szCs w:val="24"/>
          <w:lang w:val="en-GB" w:eastAsia="en-GB"/>
        </w:rPr>
      </w:pPr>
      <w:r>
        <w:rPr>
          <w:rFonts w:ascii="Arial" w:hAnsi="Arial" w:cs="Arial"/>
          <w:sz w:val="24"/>
          <w:szCs w:val="24"/>
        </w:rPr>
        <w:t xml:space="preserve">While the pigmentary findings are important in diagnosis, it is the plexiform neurofibromas which require monitoring as these can cause significant morbidity e.g., disfigurement, pain, functional impairment and can significantly impact on quality of life  </w:t>
      </w:r>
    </w:p>
    <w:p>
      <w:pPr>
        <w:pStyle w:val="21"/>
        <w:numPr>
          <w:ilvl w:val="0"/>
          <w:numId w:val="5"/>
        </w:numPr>
        <w:spacing w:before="100" w:beforeAutospacing="1" w:line="273" w:lineRule="auto"/>
        <w:jc w:val="both"/>
        <w:rPr>
          <w:rFonts w:ascii="Arial" w:hAnsi="Arial" w:cs="Arial"/>
          <w:sz w:val="24"/>
          <w:szCs w:val="24"/>
        </w:rPr>
      </w:pPr>
      <w:r>
        <w:rPr>
          <w:rFonts w:ascii="Arial" w:hAnsi="Arial" w:cs="Arial"/>
          <w:sz w:val="24"/>
          <w:szCs w:val="24"/>
        </w:rPr>
        <w:t xml:space="preserve">Neurofibromas are benign tumours of the peripheral nerve sheath which accumulate with age. </w:t>
      </w:r>
    </w:p>
    <w:p>
      <w:pPr>
        <w:pStyle w:val="21"/>
        <w:numPr>
          <w:ilvl w:val="0"/>
          <w:numId w:val="5"/>
        </w:numPr>
        <w:spacing w:before="100" w:beforeAutospacing="1" w:line="273" w:lineRule="auto"/>
        <w:jc w:val="both"/>
        <w:rPr>
          <w:rFonts w:ascii="Arial" w:hAnsi="Arial" w:cs="Arial"/>
          <w:sz w:val="24"/>
          <w:szCs w:val="24"/>
        </w:rPr>
      </w:pPr>
      <w:r>
        <w:rPr>
          <w:rFonts w:ascii="Arial" w:hAnsi="Arial" w:cs="Arial"/>
          <w:sz w:val="24"/>
          <w:szCs w:val="24"/>
        </w:rPr>
        <w:t xml:space="preserve">Cutaneous neurofibromas do not occur in young children but can appear from adolescence. They can cause symptoms because of their location ie if they catch on clothing but do not undergo malignant transformation. If causing symptoms they can be removed but this should not be undertaken lightly and we would recommend referral to the specialist NF centres or expert plastic surgical teams. </w:t>
      </w:r>
    </w:p>
    <w:p>
      <w:pPr>
        <w:pStyle w:val="21"/>
        <w:numPr>
          <w:ilvl w:val="0"/>
          <w:numId w:val="5"/>
        </w:numPr>
        <w:spacing w:before="100" w:beforeAutospacing="1" w:line="273" w:lineRule="auto"/>
        <w:jc w:val="both"/>
        <w:rPr>
          <w:rFonts w:ascii="Arial" w:hAnsi="Arial" w:cs="Arial"/>
          <w:sz w:val="24"/>
          <w:szCs w:val="24"/>
        </w:rPr>
      </w:pPr>
      <w:r>
        <w:rPr>
          <w:rFonts w:ascii="Arial" w:hAnsi="Arial" w:cs="Arial"/>
          <w:sz w:val="24"/>
          <w:szCs w:val="24"/>
        </w:rPr>
        <w:t xml:space="preserve">Subcutaneous neurofibromas can occur in young children. These usually appear under the skin and are soft in the majority. Rarely they can be larger or of firmer consistency can be painful when pressed or produce sensory symptoms such as numbess or tingling. Rarely do these undergo malignant change. If causing symptoms referral to the specialist NF centres should be undertaken.  </w:t>
      </w:r>
    </w:p>
    <w:p>
      <w:pPr>
        <w:pStyle w:val="21"/>
        <w:numPr>
          <w:ilvl w:val="0"/>
          <w:numId w:val="5"/>
        </w:numPr>
        <w:spacing w:before="100" w:beforeAutospacing="1" w:line="273" w:lineRule="auto"/>
        <w:jc w:val="both"/>
        <w:rPr>
          <w:rFonts w:ascii="Arial" w:hAnsi="Arial" w:cs="Arial"/>
          <w:sz w:val="24"/>
          <w:szCs w:val="24"/>
        </w:rPr>
      </w:pPr>
      <w:r>
        <w:rPr>
          <w:rFonts w:ascii="Arial" w:hAnsi="Arial" w:cs="Arial"/>
          <w:sz w:val="24"/>
          <w:szCs w:val="24"/>
        </w:rPr>
        <w:t xml:space="preserve">Plexiform neurofibromas (PN) occur in up to 50% of patients with NF1 and can cause significant morbidity; they can be visible or internal. They are usually associated with overlying skin pigmentation which can be present before a lump appears and in contrast to CALM affect larger areas of the skin and can have an irregular border. These are slow growing benign lesions involving multiple nerve roots. Disfiguring PN rarely occur after the age of 3, Deep seated plexiform neurofibromas can undergo malignant transformation. Signs of malignant change may include rapid growth, constant pain or neurological deficit. Children with extensive, disfiguring or symptomatic PN should be referred to NF1 specialist centres. Management is usually conservative. Complete surgical excision is rarely achievable but some children may benefit from debulking surgery. This needs to be considered only in expert hands as surgery can be complicated by bleeding, scarring and nerve damage. In addition these lesions will grow back.   </w:t>
      </w:r>
      <w:r>
        <w:rPr>
          <w:rFonts w:ascii="Arial" w:hAnsi="Arial" w:cs="Arial"/>
          <w:strike/>
          <w:sz w:val="24"/>
          <w:szCs w:val="24"/>
        </w:rPr>
        <w:t xml:space="preserve"> </w:t>
      </w:r>
      <w:r>
        <w:rPr>
          <w:rFonts w:ascii="Arial" w:hAnsi="Arial" w:cs="Arial"/>
          <w:sz w:val="24"/>
          <w:szCs w:val="24"/>
        </w:rPr>
        <w:t>Recently, selumetinib was approved for the treatment of symptomatic inoperable plexiform neurofibromatosis in children with NF1 [17]</w:t>
      </w:r>
    </w:p>
    <w:p>
      <w:pPr>
        <w:pStyle w:val="21"/>
        <w:numPr>
          <w:ilvl w:val="0"/>
          <w:numId w:val="5"/>
        </w:numPr>
        <w:spacing w:before="100" w:beforeAutospacing="1" w:line="273" w:lineRule="auto"/>
        <w:jc w:val="both"/>
        <w:rPr>
          <w:rFonts w:ascii="Arial" w:hAnsi="Arial" w:cs="Arial"/>
          <w:sz w:val="24"/>
          <w:szCs w:val="24"/>
        </w:rPr>
      </w:pPr>
      <w:r>
        <w:rPr>
          <w:rFonts w:ascii="Arial" w:hAnsi="Arial" w:cs="Arial"/>
          <w:sz w:val="24"/>
          <w:szCs w:val="24"/>
        </w:rPr>
        <w:t>Xanthogranulomas are benign solitary red or yellow papular lesions due to proliferation of histiocytic cells. They are relevant because of their association with chronic myeloid leukaemia when seen in patients with NF1. This association is not strong enough to warrant routine haematological testing [12], but if xanthogranuloma are identified a lower threshold for testing is warranted.</w:t>
      </w:r>
    </w:p>
    <w:p>
      <w:pPr>
        <w:pStyle w:val="21"/>
        <w:ind w:left="0" w:firstLine="851"/>
        <w:jc w:val="both"/>
        <w:rPr>
          <w:rFonts w:ascii="Arial" w:hAnsi="Arial" w:cs="Arial"/>
          <w:sz w:val="24"/>
          <w:szCs w:val="24"/>
        </w:rPr>
      </w:pPr>
    </w:p>
    <w:p>
      <w:pPr>
        <w:pStyle w:val="21"/>
        <w:ind w:left="0" w:firstLine="851"/>
        <w:jc w:val="both"/>
        <w:rPr>
          <w:rFonts w:ascii="Arial" w:hAnsi="Arial" w:cs="Arial"/>
          <w:sz w:val="24"/>
          <w:szCs w:val="24"/>
        </w:rPr>
      </w:pPr>
      <w:r>
        <w:rPr>
          <w:rFonts w:ascii="Arial" w:hAnsi="Arial" w:cs="Arial"/>
          <w:sz w:val="24"/>
          <w:szCs w:val="24"/>
        </w:rPr>
        <w:t xml:space="preserve"> </w:t>
      </w:r>
    </w:p>
    <w:p>
      <w:pPr>
        <w:pStyle w:val="21"/>
        <w:ind w:left="0"/>
        <w:jc w:val="both"/>
        <w:rPr>
          <w:rFonts w:ascii="Arial" w:hAnsi="Arial" w:cs="Arial"/>
          <w:b/>
          <w:sz w:val="24"/>
          <w:szCs w:val="24"/>
        </w:rPr>
      </w:pPr>
      <w:r>
        <w:rPr>
          <w:rFonts w:ascii="Arial" w:hAnsi="Arial" w:cs="Arial"/>
          <w:sz w:val="24"/>
          <w:szCs w:val="24"/>
        </w:rPr>
        <w:t xml:space="preserve">During annual review, clinicians should enquire about the progression of known skin manifestations and neurofibromas and the development of new ones, particularly the effects on the child’s quality of life. Skin inspection should be performed with appropriate referral if lesions are symptomatic. </w:t>
      </w:r>
    </w:p>
    <w:p>
      <w:pPr>
        <w:pStyle w:val="21"/>
        <w:spacing w:line="240" w:lineRule="auto"/>
        <w:ind w:left="0" w:firstLine="851"/>
        <w:jc w:val="both"/>
        <w:rPr>
          <w:rFonts w:ascii="Arial" w:hAnsi="Arial" w:cs="Arial"/>
          <w:sz w:val="24"/>
          <w:szCs w:val="24"/>
        </w:rPr>
      </w:pPr>
    </w:p>
    <w:p>
      <w:pPr>
        <w:pStyle w:val="21"/>
        <w:spacing w:line="240" w:lineRule="auto"/>
        <w:ind w:left="0"/>
        <w:jc w:val="both"/>
        <w:outlineLvl w:val="0"/>
        <w:rPr>
          <w:rFonts w:ascii="Arial" w:hAnsi="Arial" w:cs="Arial"/>
          <w:b/>
          <w:sz w:val="24"/>
          <w:szCs w:val="24"/>
        </w:rPr>
      </w:pPr>
      <w:r>
        <w:rPr>
          <w:rFonts w:ascii="Arial" w:hAnsi="Arial" w:cs="Arial"/>
          <w:b/>
          <w:sz w:val="24"/>
          <w:szCs w:val="24"/>
        </w:rPr>
        <w:t xml:space="preserve">Selumetinib </w:t>
      </w:r>
    </w:p>
    <w:p>
      <w:pPr>
        <w:pStyle w:val="21"/>
        <w:spacing w:line="240" w:lineRule="auto"/>
        <w:ind w:left="0" w:firstLine="851"/>
        <w:jc w:val="both"/>
        <w:rPr>
          <w:rFonts w:ascii="Arial" w:hAnsi="Arial" w:cs="Arial"/>
          <w:sz w:val="24"/>
          <w:szCs w:val="24"/>
        </w:rPr>
      </w:pPr>
    </w:p>
    <w:p>
      <w:pPr>
        <w:pStyle w:val="21"/>
        <w:ind w:left="0" w:firstLine="851"/>
        <w:jc w:val="both"/>
        <w:rPr>
          <w:rFonts w:ascii="Arial" w:hAnsi="Arial" w:cs="Arial"/>
          <w:sz w:val="24"/>
          <w:szCs w:val="24"/>
          <w:lang w:val="en-GB" w:eastAsia="en-GB"/>
        </w:rPr>
      </w:pPr>
      <w:r>
        <w:rPr>
          <w:rFonts w:ascii="Arial" w:hAnsi="Arial" w:cs="Arial"/>
          <w:sz w:val="24"/>
          <w:szCs w:val="24"/>
        </w:rPr>
        <w:t>Recently, selumetinib, a selective kinase inhibitor (MEK inhibitor), was approved for the treatment of symptomatic inoperable plexiform neurofibromatosis (PN) in children with NF1. Clinical trial evidence suggests that it is effective in reducing the size of PN on imaging and its associated complications [17]. The FDA has approved it in children over the age of two in the United States [19]. It has received conditional approval for use in the European Union, beginning at the age of three [20]. It is approved in the UK for children aged three and up after approval has been sought from the national NF1 centres [21]. It is administered in 28-day cycles on a continuous dosing schedule. It is only available in capsule form. The most common side effects are asymptomatic elevated creatinine phosphokinase levels and gastrointestinal symptoms [17]. This is a complex treatment and children should be referred to either the NF1 clinic in the Evelina or Manchester children's hospital.</w:t>
      </w:r>
    </w:p>
    <w:p>
      <w:pPr>
        <w:rPr>
          <w:rFonts w:ascii="Arial" w:hAnsi="Arial" w:cs="Arial"/>
          <w:b/>
          <w:sz w:val="24"/>
          <w:szCs w:val="24"/>
        </w:rPr>
      </w:pPr>
    </w:p>
    <w:p>
      <w:pPr>
        <w:rPr>
          <w:rFonts w:ascii="Arial" w:hAnsi="Arial" w:cs="Arial"/>
          <w:b/>
          <w:sz w:val="24"/>
          <w:szCs w:val="24"/>
        </w:rPr>
      </w:pPr>
    </w:p>
    <w:p>
      <w:pPr>
        <w:jc w:val="center"/>
        <w:rPr>
          <w:rFonts w:ascii="Arial" w:hAnsi="Arial" w:cs="Arial"/>
          <w:b/>
          <w:sz w:val="24"/>
          <w:szCs w:val="24"/>
        </w:rPr>
      </w:pPr>
    </w:p>
    <w:tbl>
      <w:tblPr>
        <w:tblStyle w:val="27"/>
        <w:tblpPr w:leftFromText="180" w:rightFromText="180" w:vertAnchor="text" w:horzAnchor="margin" w:tblpY="-58"/>
        <w:tblW w:w="543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60"/>
        <w:gridCol w:w="6349"/>
      </w:tblGrid>
      <w:tr>
        <w:trPr>
          <w:trHeight w:val="282" w:hRule="atLeast"/>
        </w:trPr>
        <w:tc>
          <w:tcPr>
            <w:tcW w:w="1950" w:type="pct"/>
          </w:tcPr>
          <w:p>
            <w:pPr>
              <w:widowControl w:val="0"/>
              <w:spacing w:after="0" w:line="240" w:lineRule="auto"/>
              <w:jc w:val="center"/>
              <w:rPr>
                <w:rFonts w:ascii="Arial" w:hAnsi="Arial" w:eastAsia="Times New Roman" w:cs="Arial"/>
                <w:b/>
                <w:sz w:val="24"/>
                <w:szCs w:val="24"/>
              </w:rPr>
            </w:pPr>
            <w:r>
              <w:rPr>
                <w:rFonts w:ascii="Arial" w:hAnsi="Arial" w:eastAsia="Times New Roman" w:cs="Arial"/>
                <w:b/>
                <w:sz w:val="24"/>
                <w:szCs w:val="24"/>
              </w:rPr>
              <w:t>Manifestation</w:t>
            </w:r>
          </w:p>
        </w:tc>
        <w:tc>
          <w:tcPr>
            <w:tcW w:w="3050" w:type="pct"/>
          </w:tcPr>
          <w:p>
            <w:pPr>
              <w:widowControl w:val="0"/>
              <w:spacing w:after="0" w:line="240" w:lineRule="auto"/>
              <w:jc w:val="center"/>
              <w:rPr>
                <w:rFonts w:ascii="Arial" w:hAnsi="Arial" w:eastAsia="Times New Roman" w:cs="Arial"/>
                <w:b/>
                <w:sz w:val="24"/>
                <w:szCs w:val="24"/>
              </w:rPr>
            </w:pPr>
            <w:r>
              <w:rPr>
                <w:rFonts w:ascii="Arial" w:hAnsi="Arial" w:eastAsia="Times New Roman" w:cs="Arial"/>
                <w:b/>
                <w:sz w:val="24"/>
                <w:szCs w:val="24"/>
              </w:rPr>
              <w:t>Description</w:t>
            </w:r>
          </w:p>
        </w:tc>
      </w:tr>
      <w:tr>
        <w:trPr>
          <w:trHeight w:val="1866" w:hRule="atLeast"/>
        </w:trPr>
        <w:tc>
          <w:tcPr>
            <w:tcW w:w="1950" w:type="pct"/>
          </w:tcPr>
          <w:p>
            <w:pPr>
              <w:widowControl w:val="0"/>
              <w:spacing w:after="0" w:line="240" w:lineRule="auto"/>
              <w:rPr>
                <w:rFonts w:ascii="Arial" w:hAnsi="Arial" w:eastAsia="Times New Roman" w:cs="Arial"/>
                <w:sz w:val="20"/>
                <w:szCs w:val="20"/>
              </w:rPr>
            </w:pPr>
            <w:r>
              <w:rPr>
                <w:rFonts w:ascii="Arial" w:hAnsi="Arial" w:eastAsia="Times New Roman" w:cs="Arial"/>
                <w:sz w:val="20"/>
                <w:szCs w:val="20"/>
                <w:lang w:val="en-GB" w:eastAsia="en-GB"/>
              </w:rPr>
              <w:drawing>
                <wp:inline distT="0" distB="0" distL="0" distR="0">
                  <wp:extent cx="2159635" cy="1079500"/>
                  <wp:effectExtent l="19050" t="0" r="0" b="0"/>
                  <wp:docPr id="10" name="Picture 1" descr="C:\Users\Bryony\Documents\Bryony\Paediatric Neurology\Neurofibromatosis type 1\nf6-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C:\Users\Bryony\Documents\Bryony\Paediatric Neurology\Neurofibromatosis type 1\nf6-big.jpg"/>
                          <pic:cNvPicPr>
                            <a:picLocks noChangeAspect="1" noChangeArrowheads="1"/>
                          </pic:cNvPicPr>
                        </pic:nvPicPr>
                        <pic:blipFill>
                          <a:blip r:embed="rId8"/>
                          <a:srcRect/>
                          <a:stretch>
                            <a:fillRect/>
                          </a:stretch>
                        </pic:blipFill>
                        <pic:spPr>
                          <a:xfrm>
                            <a:off x="0" y="0"/>
                            <a:ext cx="2160072" cy="1080000"/>
                          </a:xfrm>
                          <a:prstGeom prst="rect">
                            <a:avLst/>
                          </a:prstGeom>
                          <a:noFill/>
                          <a:ln w="9525">
                            <a:noFill/>
                            <a:miter lim="800000"/>
                            <a:headEnd/>
                            <a:tailEnd/>
                          </a:ln>
                        </pic:spPr>
                      </pic:pic>
                    </a:graphicData>
                  </a:graphic>
                </wp:inline>
              </w:drawing>
            </w:r>
          </w:p>
        </w:tc>
        <w:tc>
          <w:tcPr>
            <w:tcW w:w="3050" w:type="pct"/>
          </w:tcPr>
          <w:p>
            <w:pPr>
              <w:widowControl w:val="0"/>
              <w:spacing w:after="0" w:line="240" w:lineRule="auto"/>
              <w:jc w:val="both"/>
              <w:rPr>
                <w:rFonts w:ascii="Arial" w:hAnsi="Arial" w:eastAsia="Arial" w:cs="Arial"/>
                <w:b/>
                <w:bCs/>
                <w:sz w:val="20"/>
                <w:szCs w:val="20"/>
              </w:rPr>
            </w:pPr>
            <w:r>
              <w:rPr>
                <w:rFonts w:ascii="Arial" w:hAnsi="Arial" w:eastAsia="Arial" w:cs="Arial"/>
                <w:b/>
                <w:bCs/>
                <w:sz w:val="20"/>
                <w:szCs w:val="20"/>
              </w:rPr>
              <w:t>Café au lait:</w:t>
            </w:r>
          </w:p>
          <w:p>
            <w:pPr>
              <w:widowControl w:val="0"/>
              <w:spacing w:after="0" w:line="240" w:lineRule="auto"/>
              <w:jc w:val="both"/>
              <w:rPr>
                <w:rFonts w:ascii="Arial" w:hAnsi="Arial" w:eastAsia="Arial" w:cs="Arial"/>
                <w:bCs/>
                <w:sz w:val="20"/>
                <w:szCs w:val="20"/>
              </w:rPr>
            </w:pPr>
          </w:p>
          <w:p>
            <w:pPr>
              <w:widowControl w:val="0"/>
              <w:spacing w:after="0" w:line="240" w:lineRule="auto"/>
              <w:jc w:val="both"/>
              <w:rPr>
                <w:rFonts w:ascii="Arial" w:hAnsi="Arial" w:eastAsia="Arial" w:cs="Arial"/>
                <w:bCs/>
                <w:sz w:val="20"/>
                <w:szCs w:val="20"/>
              </w:rPr>
            </w:pPr>
            <w:r>
              <w:rPr>
                <w:rFonts w:ascii="Arial" w:hAnsi="Arial" w:eastAsia="Arial" w:cs="Arial"/>
                <w:bCs/>
                <w:sz w:val="20"/>
                <w:szCs w:val="20"/>
              </w:rPr>
              <w:t>Benign</w:t>
            </w:r>
          </w:p>
          <w:p>
            <w:pPr>
              <w:widowControl w:val="0"/>
              <w:spacing w:after="0" w:line="240" w:lineRule="auto"/>
              <w:jc w:val="both"/>
              <w:rPr>
                <w:rFonts w:ascii="Arial" w:hAnsi="Arial" w:eastAsia="Arial" w:cs="Arial"/>
                <w:bCs/>
                <w:sz w:val="20"/>
                <w:szCs w:val="20"/>
              </w:rPr>
            </w:pPr>
            <w:r>
              <w:rPr>
                <w:rFonts w:ascii="Arial" w:hAnsi="Arial" w:eastAsia="Arial" w:cs="Arial"/>
                <w:bCs/>
                <w:sz w:val="20"/>
                <w:szCs w:val="20"/>
              </w:rPr>
              <w:t>Flat light brown patches</w:t>
            </w:r>
          </w:p>
          <w:p>
            <w:pPr>
              <w:widowControl w:val="0"/>
              <w:spacing w:after="0" w:line="240" w:lineRule="auto"/>
              <w:jc w:val="both"/>
              <w:rPr>
                <w:rFonts w:ascii="Arial" w:hAnsi="Arial" w:eastAsia="Arial" w:cs="Arial"/>
                <w:bCs/>
                <w:sz w:val="20"/>
                <w:szCs w:val="20"/>
              </w:rPr>
            </w:pPr>
            <w:r>
              <w:rPr>
                <w:rFonts w:ascii="Arial" w:hAnsi="Arial" w:eastAsia="Arial" w:cs="Arial"/>
                <w:bCs/>
                <w:sz w:val="20"/>
                <w:szCs w:val="20"/>
              </w:rPr>
              <w:t>6 required to meet diagnostic criteria</w:t>
            </w:r>
          </w:p>
          <w:p>
            <w:pPr>
              <w:widowControl w:val="0"/>
              <w:spacing w:after="0" w:line="240" w:lineRule="auto"/>
              <w:jc w:val="both"/>
              <w:rPr>
                <w:rFonts w:ascii="Arial" w:hAnsi="Arial" w:eastAsia="Arial" w:cs="Arial"/>
                <w:bCs/>
                <w:sz w:val="20"/>
                <w:szCs w:val="20"/>
              </w:rPr>
            </w:pPr>
            <w:r>
              <w:rPr>
                <w:rFonts w:ascii="Arial" w:hAnsi="Arial" w:eastAsia="Arial" w:cs="Arial"/>
                <w:bCs/>
                <w:sz w:val="20"/>
                <w:szCs w:val="20"/>
              </w:rPr>
              <w:t>Appear in infancy and then increase in size and number over time</w:t>
            </w:r>
          </w:p>
        </w:tc>
      </w:tr>
      <w:tr>
        <w:trPr>
          <w:trHeight w:val="1866" w:hRule="atLeast"/>
        </w:trPr>
        <w:tc>
          <w:tcPr>
            <w:tcW w:w="1950" w:type="pct"/>
          </w:tcPr>
          <w:p>
            <w:pPr>
              <w:widowControl w:val="0"/>
              <w:spacing w:after="0" w:line="240" w:lineRule="auto"/>
              <w:rPr>
                <w:rFonts w:ascii="Arial" w:hAnsi="Arial" w:eastAsia="Times New Roman" w:cs="Arial"/>
                <w:sz w:val="20"/>
                <w:szCs w:val="20"/>
                <w:lang w:val="en-GB" w:eastAsia="en-GB"/>
              </w:rPr>
            </w:pPr>
            <w:r>
              <w:rPr>
                <w:rFonts w:ascii="Arial" w:hAnsi="Arial" w:eastAsia="Times New Roman" w:cs="Arial"/>
                <w:sz w:val="20"/>
                <w:szCs w:val="20"/>
                <w:lang w:val="en-GB" w:eastAsia="en-GB"/>
              </w:rPr>
              <w:drawing>
                <wp:inline distT="0" distB="0" distL="0" distR="0">
                  <wp:extent cx="2159635" cy="1079500"/>
                  <wp:effectExtent l="19050" t="0" r="0" b="0"/>
                  <wp:docPr id="11" name="Picture 2" descr="C:\Users\Bryony\Documents\Bryony\Paediatric Neurology\Neurofibromatosis type 1\nf3-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Users\Bryony\Documents\Bryony\Paediatric Neurology\Neurofibromatosis type 1\nf3-big.JPG"/>
                          <pic:cNvPicPr>
                            <a:picLocks noChangeAspect="1" noChangeArrowheads="1"/>
                          </pic:cNvPicPr>
                        </pic:nvPicPr>
                        <pic:blipFill>
                          <a:blip r:embed="rId9"/>
                          <a:srcRect/>
                          <a:stretch>
                            <a:fillRect/>
                          </a:stretch>
                        </pic:blipFill>
                        <pic:spPr>
                          <a:xfrm>
                            <a:off x="0" y="0"/>
                            <a:ext cx="2160072" cy="1080000"/>
                          </a:xfrm>
                          <a:prstGeom prst="rect">
                            <a:avLst/>
                          </a:prstGeom>
                          <a:noFill/>
                          <a:ln w="9525">
                            <a:noFill/>
                            <a:miter lim="800000"/>
                            <a:headEnd/>
                            <a:tailEnd/>
                          </a:ln>
                        </pic:spPr>
                      </pic:pic>
                    </a:graphicData>
                  </a:graphic>
                </wp:inline>
              </w:drawing>
            </w:r>
          </w:p>
        </w:tc>
        <w:tc>
          <w:tcPr>
            <w:tcW w:w="3050" w:type="pct"/>
          </w:tcPr>
          <w:p>
            <w:pPr>
              <w:widowControl w:val="0"/>
              <w:spacing w:after="0" w:line="240" w:lineRule="auto"/>
              <w:jc w:val="both"/>
              <w:rPr>
                <w:rFonts w:ascii="Arial" w:hAnsi="Arial" w:eastAsia="Times New Roman" w:cs="Arial"/>
                <w:sz w:val="20"/>
                <w:szCs w:val="20"/>
              </w:rPr>
            </w:pPr>
            <w:r>
              <w:rPr>
                <w:rFonts w:ascii="Arial" w:hAnsi="Arial" w:eastAsia="Times New Roman" w:cs="Arial"/>
                <w:b/>
                <w:sz w:val="20"/>
                <w:szCs w:val="20"/>
              </w:rPr>
              <w:t>Flexure freckling:</w:t>
            </w:r>
          </w:p>
          <w:p>
            <w:pPr>
              <w:widowControl w:val="0"/>
              <w:spacing w:after="0" w:line="240" w:lineRule="auto"/>
              <w:jc w:val="both"/>
              <w:rPr>
                <w:rFonts w:ascii="Arial" w:hAnsi="Arial" w:eastAsia="Times New Roman" w:cs="Arial"/>
                <w:sz w:val="20"/>
                <w:szCs w:val="20"/>
              </w:rPr>
            </w:pPr>
          </w:p>
          <w:p>
            <w:pPr>
              <w:widowControl w:val="0"/>
              <w:spacing w:after="0" w:line="240" w:lineRule="auto"/>
              <w:jc w:val="both"/>
              <w:rPr>
                <w:rFonts w:ascii="Arial" w:hAnsi="Arial" w:eastAsia="Times New Roman" w:cs="Arial"/>
                <w:sz w:val="20"/>
                <w:szCs w:val="20"/>
              </w:rPr>
            </w:pPr>
            <w:r>
              <w:rPr>
                <w:rFonts w:ascii="Arial" w:hAnsi="Arial" w:eastAsia="Times New Roman" w:cs="Arial"/>
                <w:sz w:val="20"/>
                <w:szCs w:val="20"/>
              </w:rPr>
              <w:t>Freckling in skin folds/ non-sun-exposed areas, appears from 2 years of age</w:t>
            </w:r>
          </w:p>
          <w:p>
            <w:pPr>
              <w:widowControl w:val="0"/>
              <w:spacing w:after="0" w:line="240" w:lineRule="auto"/>
              <w:jc w:val="both"/>
              <w:rPr>
                <w:rFonts w:ascii="Arial" w:hAnsi="Arial" w:eastAsia="Times New Roman" w:cs="Arial"/>
                <w:sz w:val="20"/>
                <w:szCs w:val="20"/>
              </w:rPr>
            </w:pPr>
            <w:r>
              <w:rPr>
                <w:rFonts w:ascii="Arial" w:hAnsi="Arial" w:eastAsia="Times New Roman" w:cs="Arial"/>
                <w:sz w:val="20"/>
                <w:szCs w:val="20"/>
              </w:rPr>
              <w:t>Benign</w:t>
            </w:r>
          </w:p>
          <w:p>
            <w:pPr>
              <w:widowControl w:val="0"/>
              <w:spacing w:after="0" w:line="240" w:lineRule="auto"/>
              <w:jc w:val="both"/>
              <w:rPr>
                <w:rFonts w:ascii="Arial" w:hAnsi="Arial" w:eastAsia="Times New Roman" w:cs="Arial"/>
                <w:sz w:val="20"/>
                <w:szCs w:val="20"/>
              </w:rPr>
            </w:pPr>
            <w:r>
              <w:rPr>
                <w:rFonts w:ascii="Arial" w:hAnsi="Arial" w:eastAsia="Times New Roman" w:cs="Arial"/>
                <w:sz w:val="20"/>
                <w:szCs w:val="20"/>
              </w:rPr>
              <w:t>Diagnostic criteria for NF1</w:t>
            </w:r>
          </w:p>
        </w:tc>
      </w:tr>
      <w:tr>
        <w:trPr>
          <w:trHeight w:val="1866" w:hRule="atLeast"/>
        </w:trPr>
        <w:tc>
          <w:tcPr>
            <w:tcW w:w="1950" w:type="pct"/>
          </w:tcPr>
          <w:p>
            <w:pPr>
              <w:widowControl w:val="0"/>
              <w:spacing w:after="0" w:line="240" w:lineRule="auto"/>
              <w:rPr>
                <w:rFonts w:ascii="Arial" w:hAnsi="Arial" w:eastAsia="Times New Roman" w:cs="Arial"/>
                <w:sz w:val="20"/>
                <w:szCs w:val="20"/>
              </w:rPr>
            </w:pPr>
            <w:r>
              <w:rPr>
                <w:rFonts w:ascii="Arial" w:hAnsi="Arial" w:eastAsia="Times New Roman" w:cs="Arial"/>
                <w:sz w:val="20"/>
                <w:szCs w:val="20"/>
                <w:lang w:val="en-GB" w:eastAsia="en-GB"/>
              </w:rPr>
              <w:drawing>
                <wp:inline distT="0" distB="0" distL="0" distR="0">
                  <wp:extent cx="2159635" cy="1079500"/>
                  <wp:effectExtent l="19050" t="0" r="0" b="0"/>
                  <wp:docPr id="12" name="Picture 4" descr="C:\Users\Bryony\Documents\Bryony\Paediatric Neurology\Neurofibromatosis type 1\nf04-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C:\Users\Bryony\Documents\Bryony\Paediatric Neurology\Neurofibromatosis type 1\nf04-big.jpg"/>
                          <pic:cNvPicPr>
                            <a:picLocks noChangeAspect="1" noChangeArrowheads="1"/>
                          </pic:cNvPicPr>
                        </pic:nvPicPr>
                        <pic:blipFill>
                          <a:blip r:embed="rId10"/>
                          <a:srcRect/>
                          <a:stretch>
                            <a:fillRect/>
                          </a:stretch>
                        </pic:blipFill>
                        <pic:spPr>
                          <a:xfrm>
                            <a:off x="0" y="0"/>
                            <a:ext cx="2160072" cy="1080000"/>
                          </a:xfrm>
                          <a:prstGeom prst="rect">
                            <a:avLst/>
                          </a:prstGeom>
                          <a:noFill/>
                          <a:ln w="9525">
                            <a:noFill/>
                            <a:miter lim="800000"/>
                            <a:headEnd/>
                            <a:tailEnd/>
                          </a:ln>
                        </pic:spPr>
                      </pic:pic>
                    </a:graphicData>
                  </a:graphic>
                </wp:inline>
              </w:drawing>
            </w:r>
          </w:p>
        </w:tc>
        <w:tc>
          <w:tcPr>
            <w:tcW w:w="3050" w:type="pct"/>
          </w:tcPr>
          <w:p>
            <w:pPr>
              <w:widowControl w:val="0"/>
              <w:spacing w:after="0" w:line="251" w:lineRule="auto"/>
              <w:ind w:right="183"/>
              <w:jc w:val="both"/>
              <w:rPr>
                <w:rFonts w:ascii="Arial" w:hAnsi="Arial" w:eastAsia="Arial" w:cs="Arial"/>
                <w:sz w:val="20"/>
                <w:szCs w:val="20"/>
              </w:rPr>
            </w:pPr>
            <w:r>
              <w:rPr>
                <w:rFonts w:ascii="Arial" w:hAnsi="Arial" w:eastAsia="Arial" w:cs="Arial"/>
                <w:b/>
                <w:bCs/>
                <w:w w:val="105"/>
                <w:sz w:val="20"/>
                <w:szCs w:val="20"/>
              </w:rPr>
              <w:t>Cutaneous neurofibroma / dermal neurofibroma</w:t>
            </w:r>
          </w:p>
          <w:p>
            <w:pPr>
              <w:widowControl w:val="0"/>
              <w:spacing w:after="0" w:line="240" w:lineRule="auto"/>
              <w:jc w:val="both"/>
              <w:rPr>
                <w:rFonts w:ascii="Arial" w:hAnsi="Arial" w:eastAsia="Times New Roman" w:cs="Arial"/>
                <w:sz w:val="20"/>
                <w:szCs w:val="20"/>
              </w:rPr>
            </w:pPr>
          </w:p>
          <w:p>
            <w:pPr>
              <w:widowControl w:val="0"/>
              <w:spacing w:after="0" w:line="240" w:lineRule="auto"/>
              <w:jc w:val="both"/>
              <w:rPr>
                <w:rFonts w:ascii="Arial" w:hAnsi="Arial" w:eastAsia="Times New Roman" w:cs="Arial"/>
                <w:sz w:val="20"/>
                <w:szCs w:val="20"/>
              </w:rPr>
            </w:pPr>
            <w:r>
              <w:rPr>
                <w:rFonts w:ascii="Arial" w:hAnsi="Arial" w:eastAsia="Times New Roman" w:cs="Arial"/>
                <w:sz w:val="20"/>
                <w:szCs w:val="20"/>
              </w:rPr>
              <w:t>Benign tumours of peripheral nerves in the skin</w:t>
            </w:r>
          </w:p>
          <w:p>
            <w:pPr>
              <w:widowControl w:val="0"/>
              <w:spacing w:after="0" w:line="240" w:lineRule="auto"/>
              <w:jc w:val="both"/>
              <w:rPr>
                <w:rFonts w:ascii="Arial" w:hAnsi="Arial" w:eastAsia="Times New Roman" w:cs="Arial"/>
                <w:sz w:val="20"/>
                <w:szCs w:val="20"/>
              </w:rPr>
            </w:pPr>
            <w:r>
              <w:rPr>
                <w:rFonts w:ascii="Arial" w:hAnsi="Arial" w:eastAsia="Times New Roman" w:cs="Arial"/>
                <w:sz w:val="20"/>
                <w:szCs w:val="20"/>
              </w:rPr>
              <w:t>No potential for malignant change</w:t>
            </w:r>
          </w:p>
          <w:p>
            <w:pPr>
              <w:widowControl w:val="0"/>
              <w:spacing w:after="0" w:line="240" w:lineRule="auto"/>
              <w:jc w:val="both"/>
              <w:rPr>
                <w:rFonts w:ascii="Arial" w:hAnsi="Arial" w:eastAsia="Times New Roman" w:cs="Arial"/>
                <w:sz w:val="20"/>
                <w:szCs w:val="20"/>
              </w:rPr>
            </w:pPr>
            <w:r>
              <w:rPr>
                <w:rFonts w:ascii="Arial" w:hAnsi="Arial" w:eastAsia="Times New Roman" w:cs="Arial"/>
                <w:sz w:val="20"/>
                <w:szCs w:val="20"/>
              </w:rPr>
              <w:t>Removed for cosmetic reasons or if causing discomfort</w:t>
            </w:r>
          </w:p>
          <w:p>
            <w:pPr>
              <w:widowControl w:val="0"/>
              <w:spacing w:after="0" w:line="240" w:lineRule="auto"/>
              <w:jc w:val="both"/>
              <w:rPr>
                <w:rFonts w:ascii="Arial" w:hAnsi="Arial" w:eastAsia="Times New Roman" w:cs="Arial"/>
                <w:sz w:val="20"/>
                <w:szCs w:val="20"/>
              </w:rPr>
            </w:pPr>
          </w:p>
        </w:tc>
      </w:tr>
      <w:tr>
        <w:trPr>
          <w:trHeight w:val="1866" w:hRule="atLeast"/>
        </w:trPr>
        <w:tc>
          <w:tcPr>
            <w:tcW w:w="1950" w:type="pct"/>
          </w:tcPr>
          <w:p>
            <w:pPr>
              <w:widowControl w:val="0"/>
              <w:tabs>
                <w:tab w:val="left" w:pos="1006"/>
              </w:tabs>
              <w:spacing w:after="0" w:line="240" w:lineRule="auto"/>
              <w:rPr>
                <w:rFonts w:ascii="Arial" w:hAnsi="Arial" w:eastAsia="Times New Roman" w:cs="Arial"/>
                <w:sz w:val="20"/>
                <w:szCs w:val="20"/>
              </w:rPr>
            </w:pPr>
            <w:r>
              <w:rPr>
                <w:rFonts w:ascii="Arial" w:hAnsi="Arial" w:eastAsia="Times New Roman" w:cs="Arial"/>
                <w:sz w:val="20"/>
                <w:szCs w:val="20"/>
                <w:lang w:val="en-GB" w:eastAsia="en-GB"/>
              </w:rPr>
              <w:drawing>
                <wp:inline distT="0" distB="0" distL="0" distR="0">
                  <wp:extent cx="2159635" cy="1079500"/>
                  <wp:effectExtent l="19050" t="0" r="0" b="0"/>
                  <wp:docPr id="13" name="Picture 13" descr="C:\Users\Bryony\Documents\Bryony\Paediatric Neurology\Neurofibromatosis type 1\nf4-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Bryony\Documents\Bryony\Paediatric Neurology\Neurofibromatosis type 1\nf4-big.jpg"/>
                          <pic:cNvPicPr>
                            <a:picLocks noChangeAspect="1" noChangeArrowheads="1"/>
                          </pic:cNvPicPr>
                        </pic:nvPicPr>
                        <pic:blipFill>
                          <a:blip r:embed="rId11"/>
                          <a:srcRect/>
                          <a:stretch>
                            <a:fillRect/>
                          </a:stretch>
                        </pic:blipFill>
                        <pic:spPr>
                          <a:xfrm>
                            <a:off x="0" y="0"/>
                            <a:ext cx="2160072" cy="1080000"/>
                          </a:xfrm>
                          <a:prstGeom prst="rect">
                            <a:avLst/>
                          </a:prstGeom>
                          <a:noFill/>
                          <a:ln w="9525">
                            <a:noFill/>
                            <a:miter lim="800000"/>
                            <a:headEnd/>
                            <a:tailEnd/>
                          </a:ln>
                        </pic:spPr>
                      </pic:pic>
                    </a:graphicData>
                  </a:graphic>
                </wp:inline>
              </w:drawing>
            </w:r>
          </w:p>
        </w:tc>
        <w:tc>
          <w:tcPr>
            <w:tcW w:w="3050" w:type="pct"/>
          </w:tcPr>
          <w:p>
            <w:pPr>
              <w:widowControl w:val="0"/>
              <w:spacing w:after="0" w:line="250" w:lineRule="auto"/>
              <w:ind w:right="183"/>
              <w:jc w:val="both"/>
              <w:rPr>
                <w:rFonts w:ascii="Arial" w:hAnsi="Arial" w:eastAsia="Arial" w:cs="Arial"/>
                <w:sz w:val="20"/>
                <w:szCs w:val="20"/>
              </w:rPr>
            </w:pPr>
            <w:r>
              <w:rPr>
                <w:rFonts w:ascii="Arial" w:hAnsi="Arial" w:eastAsia="Arial" w:cs="Arial"/>
                <w:b/>
                <w:bCs/>
                <w:w w:val="105"/>
                <w:sz w:val="20"/>
                <w:szCs w:val="20"/>
              </w:rPr>
              <w:t>Plexiform neurofibroma</w:t>
            </w:r>
          </w:p>
          <w:p>
            <w:pPr>
              <w:widowControl w:val="0"/>
              <w:spacing w:after="0" w:line="240" w:lineRule="auto"/>
              <w:rPr>
                <w:rFonts w:ascii="Arial" w:hAnsi="Arial" w:eastAsia="Times New Roman" w:cs="Arial"/>
                <w:sz w:val="20"/>
                <w:szCs w:val="20"/>
              </w:rPr>
            </w:pPr>
          </w:p>
          <w:p>
            <w:pPr>
              <w:widowControl w:val="0"/>
              <w:spacing w:after="0"/>
              <w:rPr>
                <w:rFonts w:ascii="Arial" w:hAnsi="Arial" w:eastAsia="Times New Roman" w:cs="Arial"/>
                <w:sz w:val="20"/>
                <w:szCs w:val="20"/>
                <w:lang w:val="en-GB" w:eastAsia="en-GB"/>
              </w:rPr>
            </w:pPr>
            <w:r>
              <w:rPr>
                <w:rFonts w:ascii="Arial" w:hAnsi="Arial" w:cs="Arial"/>
                <w:sz w:val="20"/>
                <w:szCs w:val="20"/>
              </w:rPr>
              <w:t>Can be internal and not visible</w:t>
            </w:r>
          </w:p>
          <w:p>
            <w:pPr>
              <w:widowControl w:val="0"/>
              <w:spacing w:after="0"/>
              <w:rPr>
                <w:rFonts w:ascii="Arial" w:hAnsi="Arial" w:cs="Arial"/>
                <w:sz w:val="20"/>
                <w:szCs w:val="20"/>
              </w:rPr>
            </w:pPr>
            <w:r>
              <w:rPr>
                <w:rFonts w:ascii="Arial" w:hAnsi="Arial" w:cs="Arial"/>
                <w:sz w:val="20"/>
                <w:szCs w:val="20"/>
              </w:rPr>
              <w:t>Affect large nerve trunks, spinal roots or multiple nerve branches</w:t>
            </w:r>
          </w:p>
          <w:p>
            <w:pPr>
              <w:widowControl w:val="0"/>
              <w:spacing w:after="0"/>
              <w:rPr>
                <w:rFonts w:ascii="Arial" w:hAnsi="Arial" w:cs="Arial"/>
                <w:sz w:val="20"/>
                <w:szCs w:val="20"/>
              </w:rPr>
            </w:pPr>
            <w:r>
              <w:rPr>
                <w:rFonts w:ascii="Arial" w:hAnsi="Arial" w:cs="Arial"/>
                <w:sz w:val="20"/>
                <w:szCs w:val="20"/>
              </w:rPr>
              <w:t>Can infiltrate soft tissue and bone</w:t>
            </w:r>
          </w:p>
          <w:p>
            <w:pPr>
              <w:widowControl w:val="0"/>
              <w:spacing w:after="0"/>
              <w:rPr>
                <w:rFonts w:ascii="Arial" w:hAnsi="Arial" w:cs="Arial"/>
                <w:sz w:val="20"/>
                <w:szCs w:val="20"/>
              </w:rPr>
            </w:pPr>
            <w:r>
              <w:rPr>
                <w:rFonts w:ascii="Arial" w:hAnsi="Arial" w:cs="Arial"/>
                <w:sz w:val="20"/>
                <w:szCs w:val="20"/>
              </w:rPr>
              <w:t>Cause pain, disfigurement, impaired function; rarely become malignant</w:t>
            </w:r>
          </w:p>
          <w:p>
            <w:pPr>
              <w:widowControl w:val="0"/>
              <w:rPr>
                <w:rFonts w:cs="Times New Roman"/>
              </w:rPr>
            </w:pPr>
            <w:r>
              <w:rPr>
                <w:rFonts w:ascii="Arial" w:hAnsi="Arial" w:cs="Arial"/>
                <w:sz w:val="20"/>
                <w:szCs w:val="20"/>
              </w:rPr>
              <w:t>Sometimes overlying skin is pigmented</w:t>
            </w:r>
          </w:p>
          <w:p>
            <w:pPr>
              <w:widowControl w:val="0"/>
              <w:spacing w:after="0" w:line="240" w:lineRule="auto"/>
              <w:rPr>
                <w:rFonts w:ascii="Arial" w:hAnsi="Arial" w:eastAsia="Times New Roman" w:cs="Arial"/>
                <w:sz w:val="20"/>
                <w:szCs w:val="20"/>
              </w:rPr>
            </w:pPr>
          </w:p>
        </w:tc>
      </w:tr>
      <w:tr>
        <w:trPr>
          <w:trHeight w:val="1866" w:hRule="atLeast"/>
        </w:trPr>
        <w:tc>
          <w:tcPr>
            <w:tcW w:w="1950" w:type="pct"/>
          </w:tcPr>
          <w:p>
            <w:pPr>
              <w:widowControl w:val="0"/>
              <w:spacing w:after="0" w:line="240" w:lineRule="auto"/>
              <w:rPr>
                <w:rFonts w:ascii="Arial" w:hAnsi="Arial" w:eastAsia="Times New Roman" w:cs="Arial"/>
                <w:sz w:val="20"/>
                <w:szCs w:val="20"/>
              </w:rPr>
            </w:pPr>
            <w:r>
              <w:rPr>
                <w:rFonts w:ascii="Arial" w:hAnsi="Arial" w:eastAsia="Times New Roman" w:cs="Arial"/>
                <w:sz w:val="20"/>
                <w:szCs w:val="20"/>
                <w:lang w:val="en-GB" w:eastAsia="en-GB"/>
              </w:rPr>
              <w:drawing>
                <wp:inline distT="0" distB="0" distL="0" distR="0">
                  <wp:extent cx="2159635" cy="1080135"/>
                  <wp:effectExtent l="19050" t="0" r="0" b="0"/>
                  <wp:docPr id="14" name="Picture 14" descr="C:\Users\Bryony\Documents\Bryony\Paediatric Neurology\Neurofibromatosis type 1\jxg1-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Bryony\Documents\Bryony\Paediatric Neurology\Neurofibromatosis type 1\jxg1-big.JPG"/>
                          <pic:cNvPicPr>
                            <a:picLocks noChangeAspect="1" noChangeArrowheads="1"/>
                          </pic:cNvPicPr>
                        </pic:nvPicPr>
                        <pic:blipFill>
                          <a:blip r:embed="rId12"/>
                          <a:srcRect/>
                          <a:stretch>
                            <a:fillRect/>
                          </a:stretch>
                        </pic:blipFill>
                        <pic:spPr>
                          <a:xfrm>
                            <a:off x="0" y="0"/>
                            <a:ext cx="2160000" cy="1080655"/>
                          </a:xfrm>
                          <a:prstGeom prst="rect">
                            <a:avLst/>
                          </a:prstGeom>
                          <a:noFill/>
                          <a:ln w="9525">
                            <a:noFill/>
                            <a:miter lim="800000"/>
                            <a:headEnd/>
                            <a:tailEnd/>
                          </a:ln>
                        </pic:spPr>
                      </pic:pic>
                    </a:graphicData>
                  </a:graphic>
                </wp:inline>
              </w:drawing>
            </w:r>
          </w:p>
        </w:tc>
        <w:tc>
          <w:tcPr>
            <w:tcW w:w="3050" w:type="pct"/>
          </w:tcPr>
          <w:p>
            <w:pPr>
              <w:widowControl w:val="0"/>
              <w:spacing w:after="0" w:line="240" w:lineRule="auto"/>
              <w:rPr>
                <w:rFonts w:ascii="Arial" w:hAnsi="Arial" w:eastAsia="Arial" w:cs="Arial"/>
                <w:b/>
                <w:bCs/>
                <w:w w:val="105"/>
                <w:sz w:val="20"/>
                <w:szCs w:val="20"/>
              </w:rPr>
            </w:pPr>
            <w:r>
              <w:rPr>
                <w:rFonts w:ascii="Arial" w:hAnsi="Arial" w:eastAsia="Arial" w:cs="Arial"/>
                <w:b/>
                <w:bCs/>
                <w:w w:val="105"/>
                <w:sz w:val="20"/>
                <w:szCs w:val="20"/>
              </w:rPr>
              <w:t>Xanthogranuloma</w:t>
            </w:r>
          </w:p>
          <w:p>
            <w:pPr>
              <w:widowControl w:val="0"/>
              <w:spacing w:after="0" w:line="240" w:lineRule="auto"/>
              <w:rPr>
                <w:rFonts w:ascii="Arial" w:hAnsi="Arial" w:eastAsia="Times New Roman" w:cs="Arial"/>
                <w:sz w:val="20"/>
                <w:szCs w:val="20"/>
              </w:rPr>
            </w:pPr>
          </w:p>
          <w:p>
            <w:pPr>
              <w:widowControl w:val="0"/>
              <w:spacing w:after="0" w:line="240" w:lineRule="auto"/>
              <w:rPr>
                <w:rFonts w:ascii="Arial" w:hAnsi="Arial" w:eastAsia="Times New Roman" w:cs="Arial"/>
                <w:sz w:val="20"/>
                <w:szCs w:val="20"/>
              </w:rPr>
            </w:pPr>
            <w:r>
              <w:rPr>
                <w:rFonts w:ascii="Arial" w:hAnsi="Arial" w:eastAsia="Times New Roman" w:cs="Arial"/>
                <w:sz w:val="20"/>
                <w:szCs w:val="20"/>
              </w:rPr>
              <w:t>Red/yellow papules, usually &lt;0.5cm diameter (up to 2cm can occur)</w:t>
            </w:r>
          </w:p>
          <w:p>
            <w:pPr>
              <w:widowControl w:val="0"/>
              <w:spacing w:after="0" w:line="240" w:lineRule="auto"/>
              <w:rPr>
                <w:rFonts w:ascii="Arial" w:hAnsi="Arial" w:eastAsia="Times New Roman" w:cs="Arial"/>
                <w:sz w:val="20"/>
                <w:szCs w:val="20"/>
              </w:rPr>
            </w:pPr>
            <w:r>
              <w:rPr>
                <w:rFonts w:ascii="Arial" w:hAnsi="Arial" w:eastAsia="Times New Roman" w:cs="Arial"/>
                <w:sz w:val="20"/>
                <w:szCs w:val="20"/>
              </w:rPr>
              <w:t>May become scaly</w:t>
            </w:r>
          </w:p>
          <w:p>
            <w:pPr>
              <w:widowControl w:val="0"/>
              <w:spacing w:after="0" w:line="240" w:lineRule="auto"/>
              <w:rPr>
                <w:rFonts w:ascii="Arial" w:hAnsi="Arial" w:eastAsia="Times New Roman" w:cs="Arial"/>
                <w:sz w:val="20"/>
                <w:szCs w:val="20"/>
              </w:rPr>
            </w:pPr>
            <w:r>
              <w:rPr>
                <w:rFonts w:ascii="Arial" w:hAnsi="Arial" w:eastAsia="Times New Roman" w:cs="Arial"/>
                <w:sz w:val="20"/>
                <w:szCs w:val="20"/>
              </w:rPr>
              <w:t>Non-Langerhan’s cell histiocytosis</w:t>
            </w:r>
          </w:p>
          <w:p>
            <w:pPr>
              <w:widowControl w:val="0"/>
              <w:spacing w:after="0" w:line="240" w:lineRule="auto"/>
              <w:rPr>
                <w:rFonts w:ascii="Arial" w:hAnsi="Arial" w:eastAsia="Times New Roman" w:cs="Arial"/>
                <w:sz w:val="20"/>
                <w:szCs w:val="20"/>
              </w:rPr>
            </w:pPr>
            <w:r>
              <w:rPr>
                <w:rFonts w:ascii="Arial" w:hAnsi="Arial" w:eastAsia="Times New Roman" w:cs="Arial"/>
                <w:sz w:val="20"/>
                <w:szCs w:val="20"/>
              </w:rPr>
              <w:t>An association with leukaemia</w:t>
            </w:r>
          </w:p>
          <w:p>
            <w:pPr>
              <w:widowControl w:val="0"/>
              <w:spacing w:after="0" w:line="240" w:lineRule="auto"/>
              <w:rPr>
                <w:rFonts w:ascii="Arial" w:hAnsi="Arial" w:eastAsia="Times New Roman" w:cs="Arial"/>
                <w:sz w:val="20"/>
                <w:szCs w:val="20"/>
              </w:rPr>
            </w:pPr>
          </w:p>
        </w:tc>
      </w:tr>
    </w:tbl>
    <w:p>
      <w:pPr>
        <w:pStyle w:val="21"/>
        <w:spacing w:line="240" w:lineRule="auto"/>
        <w:ind w:left="0"/>
        <w:jc w:val="center"/>
        <w:rPr>
          <w:rFonts w:ascii="Arial" w:hAnsi="Arial" w:cs="Arial"/>
          <w:b/>
          <w:sz w:val="24"/>
          <w:szCs w:val="24"/>
        </w:rPr>
      </w:pPr>
    </w:p>
    <w:p>
      <w:pPr>
        <w:pStyle w:val="21"/>
        <w:spacing w:line="240" w:lineRule="auto"/>
        <w:ind w:left="0"/>
        <w:jc w:val="center"/>
        <w:rPr>
          <w:rFonts w:ascii="Arial" w:hAnsi="Arial" w:cs="Arial"/>
          <w:b/>
          <w:sz w:val="24"/>
          <w:szCs w:val="24"/>
        </w:rPr>
      </w:pPr>
    </w:p>
    <w:p>
      <w:pPr>
        <w:pStyle w:val="21"/>
        <w:spacing w:line="240" w:lineRule="auto"/>
        <w:ind w:left="0"/>
        <w:jc w:val="center"/>
        <w:rPr>
          <w:rFonts w:ascii="Arial" w:hAnsi="Arial" w:cs="Arial"/>
          <w:b/>
          <w:sz w:val="24"/>
          <w:szCs w:val="24"/>
        </w:rPr>
      </w:pPr>
    </w:p>
    <w:p>
      <w:pPr>
        <w:pStyle w:val="21"/>
        <w:spacing w:line="240" w:lineRule="auto"/>
        <w:ind w:left="0"/>
        <w:jc w:val="center"/>
        <w:rPr>
          <w:rFonts w:ascii="Arial" w:hAnsi="Arial" w:cs="Arial"/>
          <w:b/>
          <w:sz w:val="24"/>
          <w:szCs w:val="24"/>
        </w:rPr>
      </w:pPr>
    </w:p>
    <w:p>
      <w:pPr>
        <w:pStyle w:val="21"/>
        <w:spacing w:line="240" w:lineRule="auto"/>
        <w:ind w:left="0"/>
        <w:jc w:val="center"/>
        <w:rPr>
          <w:rFonts w:ascii="Arial" w:hAnsi="Arial" w:cs="Arial"/>
          <w:b/>
          <w:sz w:val="24"/>
          <w:szCs w:val="24"/>
        </w:rPr>
      </w:pPr>
    </w:p>
    <w:p>
      <w:pPr>
        <w:pStyle w:val="21"/>
        <w:spacing w:line="240" w:lineRule="auto"/>
        <w:ind w:left="0"/>
        <w:jc w:val="center"/>
        <w:rPr>
          <w:rFonts w:ascii="Arial" w:hAnsi="Arial" w:cs="Arial"/>
          <w:b/>
          <w:sz w:val="24"/>
          <w:szCs w:val="24"/>
        </w:rPr>
      </w:pPr>
    </w:p>
    <w:p>
      <w:pPr>
        <w:pStyle w:val="21"/>
        <w:spacing w:line="240" w:lineRule="auto"/>
        <w:ind w:left="0"/>
        <w:jc w:val="center"/>
        <w:rPr>
          <w:rFonts w:ascii="Arial" w:hAnsi="Arial" w:cs="Arial"/>
          <w:b/>
          <w:sz w:val="24"/>
          <w:szCs w:val="24"/>
        </w:rPr>
      </w:pPr>
    </w:p>
    <w:p>
      <w:pPr>
        <w:pStyle w:val="21"/>
        <w:spacing w:line="240" w:lineRule="auto"/>
        <w:ind w:left="0"/>
        <w:jc w:val="center"/>
        <w:rPr>
          <w:rFonts w:ascii="Arial" w:hAnsi="Arial" w:cs="Arial"/>
          <w:b/>
          <w:sz w:val="24"/>
          <w:szCs w:val="24"/>
        </w:rPr>
      </w:pPr>
      <w:r>
        <w:rPr>
          <w:rFonts w:ascii="Arial" w:hAnsi="Arial" w:cs="Arial"/>
          <w:b/>
          <w:sz w:val="24"/>
          <w:szCs w:val="24"/>
        </w:rPr>
        <w:t>Figure 1: Manifestations in NF1</w:t>
      </w:r>
    </w:p>
    <w:p>
      <w:pPr>
        <w:pStyle w:val="21"/>
        <w:spacing w:line="240" w:lineRule="auto"/>
        <w:ind w:left="0"/>
        <w:jc w:val="both"/>
        <w:rPr>
          <w:rFonts w:ascii="Arial" w:hAnsi="Arial" w:cs="Arial"/>
          <w:b/>
          <w:sz w:val="24"/>
          <w:szCs w:val="24"/>
        </w:rPr>
      </w:pPr>
    </w:p>
    <w:p>
      <w:pPr>
        <w:pStyle w:val="21"/>
        <w:spacing w:line="240" w:lineRule="auto"/>
        <w:ind w:left="0"/>
        <w:jc w:val="both"/>
        <w:rPr>
          <w:rFonts w:ascii="Arial" w:hAnsi="Arial" w:cs="Arial"/>
          <w:b/>
          <w:sz w:val="24"/>
          <w:szCs w:val="24"/>
        </w:rPr>
      </w:pPr>
    </w:p>
    <w:p>
      <w:pPr>
        <w:pStyle w:val="21"/>
        <w:spacing w:line="240" w:lineRule="auto"/>
        <w:ind w:left="0"/>
        <w:jc w:val="both"/>
        <w:rPr>
          <w:rFonts w:ascii="Arial" w:hAnsi="Arial" w:cs="Arial"/>
          <w:sz w:val="24"/>
          <w:szCs w:val="24"/>
        </w:rPr>
      </w:pPr>
      <w:r>
        <w:rPr>
          <w:rFonts w:ascii="Arial" w:hAnsi="Arial" w:cs="Arial"/>
          <w:b/>
          <w:sz w:val="24"/>
          <w:szCs w:val="24"/>
        </w:rPr>
        <w:t>Ophthalmology</w:t>
      </w:r>
    </w:p>
    <w:p>
      <w:pPr>
        <w:pStyle w:val="21"/>
        <w:spacing w:line="240" w:lineRule="auto"/>
        <w:jc w:val="both"/>
        <w:rPr>
          <w:rFonts w:ascii="Arial" w:hAnsi="Arial" w:cs="Arial"/>
          <w:sz w:val="24"/>
          <w:szCs w:val="24"/>
        </w:rPr>
      </w:pPr>
    </w:p>
    <w:p>
      <w:pPr>
        <w:pStyle w:val="21"/>
        <w:ind w:left="0" w:firstLine="720"/>
        <w:jc w:val="both"/>
        <w:rPr>
          <w:rFonts w:ascii="Arial" w:hAnsi="Arial" w:cs="Arial"/>
          <w:sz w:val="24"/>
          <w:szCs w:val="24"/>
          <w:lang w:val="en-GB" w:eastAsia="en-GB"/>
        </w:rPr>
      </w:pPr>
      <w:r>
        <w:rPr>
          <w:rFonts w:ascii="Arial" w:hAnsi="Arial" w:cs="Arial"/>
          <w:sz w:val="24"/>
          <w:szCs w:val="24"/>
        </w:rPr>
        <w:t xml:space="preserve">Optic pathway gliomas and Lisch nodules are the two main ophthalmological manifestations. Choroidal abnormalities were included to the revised diagnostic criteria for NF1 because of high specificity and sensitivity for NF1 and their ability to distinguish it from LGSS. Choroidal abnormalities (CAs) — described as bright, patchy nodules observed by optical coherence tomography (OCT)/near-infrared reflectance (NIR) imaging are a common cause of choroidal neovascularization [9]. Pulsating exophthalmos can occur secondary to sphenoid wing dysplasia. Lisch nodules, or iris hamartomas, are seen by slit lamp examination in children over the age of 5 typically and are useful in diagnosis, but do not affect vision and so do not require monitoring once the diagnosis of NF1 is made. </w:t>
      </w:r>
    </w:p>
    <w:p>
      <w:pPr>
        <w:pStyle w:val="21"/>
        <w:spacing w:line="240" w:lineRule="auto"/>
        <w:ind w:left="0" w:firstLine="720"/>
        <w:jc w:val="both"/>
        <w:rPr>
          <w:rFonts w:ascii="Arial" w:hAnsi="Arial" w:cs="Arial"/>
          <w:sz w:val="24"/>
          <w:szCs w:val="24"/>
        </w:rPr>
      </w:pPr>
    </w:p>
    <w:p>
      <w:pPr>
        <w:rPr>
          <w:rFonts w:eastAsia="Times New Roman"/>
          <w:lang w:val="en-GB" w:eastAsia="en-GB"/>
        </w:rPr>
      </w:pPr>
      <w:r>
        <w:rPr>
          <w:rFonts w:ascii="Arial" w:hAnsi="Arial" w:cs="Arial"/>
          <w:sz w:val="24"/>
          <w:szCs w:val="24"/>
        </w:rPr>
        <w:t>Optic pathway gliomas are normally grade 1 pilocytic astrocytomata. They occur in 15% of children with NF1 and are most commonly symptomatic in children under 7 years. If symptomatic they require treatment. Primary treatment is chemotherapy; surgery may also be required. Visual surveillance is key to detect these</w:t>
      </w:r>
    </w:p>
    <w:p>
      <w:pPr>
        <w:pStyle w:val="21"/>
        <w:spacing w:line="240" w:lineRule="auto"/>
        <w:ind w:left="0" w:firstLine="720"/>
        <w:jc w:val="both"/>
        <w:rPr>
          <w:rFonts w:ascii="Arial" w:hAnsi="Arial" w:cs="Arial"/>
          <w:sz w:val="24"/>
          <w:szCs w:val="24"/>
        </w:rPr>
      </w:pPr>
    </w:p>
    <w:p>
      <w:pPr>
        <w:pStyle w:val="21"/>
        <w:spacing w:line="240" w:lineRule="auto"/>
        <w:ind w:left="0" w:firstLine="851"/>
        <w:jc w:val="both"/>
        <w:rPr>
          <w:rFonts w:ascii="Arial" w:hAnsi="Arial" w:cs="Arial"/>
          <w:sz w:val="24"/>
          <w:szCs w:val="24"/>
        </w:rPr>
      </w:pPr>
      <w:r>
        <w:rPr>
          <w:rFonts w:ascii="Arial" w:hAnsi="Arial" w:cs="Arial"/>
          <w:sz w:val="24"/>
          <w:szCs w:val="24"/>
        </w:rPr>
        <w:t>Children with NF1 require at least annual ophthalmology review until 7 years old to screen for signs of OPGs. The review should include:</w:t>
      </w:r>
    </w:p>
    <w:p>
      <w:pPr>
        <w:pStyle w:val="21"/>
        <w:spacing w:line="240" w:lineRule="auto"/>
        <w:ind w:left="0" w:firstLine="851"/>
        <w:jc w:val="both"/>
        <w:rPr>
          <w:rFonts w:ascii="Arial" w:hAnsi="Arial" w:cs="Arial"/>
          <w:sz w:val="24"/>
          <w:szCs w:val="24"/>
        </w:rPr>
      </w:pPr>
    </w:p>
    <w:p>
      <w:pPr>
        <w:pStyle w:val="21"/>
        <w:spacing w:line="240" w:lineRule="auto"/>
        <w:ind w:left="0"/>
        <w:jc w:val="both"/>
        <w:rPr>
          <w:rFonts w:ascii="Arial" w:hAnsi="Arial" w:cs="Arial"/>
          <w:sz w:val="24"/>
          <w:szCs w:val="24"/>
        </w:rPr>
      </w:pPr>
      <w:r>
        <w:rPr>
          <w:rFonts w:ascii="Arial" w:hAnsi="Arial" w:cs="Arial"/>
          <w:sz w:val="24"/>
          <w:szCs w:val="24"/>
        </w:rPr>
        <w:t xml:space="preserve">a) Inspection for squints and proptosis </w:t>
      </w:r>
    </w:p>
    <w:p>
      <w:pPr>
        <w:pStyle w:val="21"/>
        <w:spacing w:line="240" w:lineRule="auto"/>
        <w:ind w:left="0"/>
        <w:jc w:val="both"/>
        <w:rPr>
          <w:rFonts w:ascii="Arial" w:hAnsi="Arial" w:cs="Arial"/>
          <w:sz w:val="24"/>
          <w:szCs w:val="24"/>
        </w:rPr>
      </w:pPr>
      <w:r>
        <w:rPr>
          <w:rFonts w:ascii="Arial" w:hAnsi="Arial" w:cs="Arial"/>
          <w:sz w:val="24"/>
          <w:szCs w:val="24"/>
        </w:rPr>
        <w:t>b) Visual acuity testing</w:t>
      </w:r>
    </w:p>
    <w:p>
      <w:pPr>
        <w:pStyle w:val="21"/>
        <w:spacing w:line="240" w:lineRule="auto"/>
        <w:ind w:left="0"/>
        <w:jc w:val="both"/>
        <w:rPr>
          <w:rFonts w:ascii="Arial" w:hAnsi="Arial" w:cs="Arial"/>
          <w:sz w:val="24"/>
          <w:szCs w:val="24"/>
        </w:rPr>
      </w:pPr>
      <w:r>
        <w:rPr>
          <w:rFonts w:ascii="Arial" w:hAnsi="Arial" w:cs="Arial"/>
          <w:sz w:val="24"/>
          <w:szCs w:val="24"/>
        </w:rPr>
        <w:t>c) Tests for colour vision</w:t>
      </w:r>
    </w:p>
    <w:p>
      <w:pPr>
        <w:pStyle w:val="21"/>
        <w:spacing w:line="240" w:lineRule="auto"/>
        <w:ind w:left="0"/>
        <w:jc w:val="both"/>
        <w:rPr>
          <w:rFonts w:ascii="Arial" w:hAnsi="Arial" w:cs="Arial"/>
          <w:sz w:val="24"/>
          <w:szCs w:val="24"/>
        </w:rPr>
      </w:pPr>
      <w:r>
        <w:rPr>
          <w:rFonts w:ascii="Arial" w:hAnsi="Arial" w:cs="Arial"/>
          <w:sz w:val="24"/>
          <w:szCs w:val="24"/>
        </w:rPr>
        <w:t xml:space="preserve">d) Visualisation of the optic discs - looking for pale discs and elevation  </w:t>
      </w:r>
    </w:p>
    <w:p>
      <w:pPr>
        <w:pStyle w:val="21"/>
        <w:spacing w:line="240" w:lineRule="auto"/>
        <w:ind w:left="0" w:firstLine="851"/>
        <w:jc w:val="both"/>
        <w:rPr>
          <w:rFonts w:ascii="Arial" w:hAnsi="Arial" w:cs="Arial"/>
          <w:sz w:val="24"/>
          <w:szCs w:val="24"/>
        </w:rPr>
      </w:pPr>
    </w:p>
    <w:p>
      <w:pPr>
        <w:pStyle w:val="21"/>
        <w:spacing w:line="240" w:lineRule="auto"/>
        <w:ind w:left="0" w:firstLine="851"/>
        <w:jc w:val="both"/>
        <w:rPr>
          <w:rFonts w:ascii="Arial" w:hAnsi="Arial" w:cs="Arial"/>
          <w:sz w:val="24"/>
          <w:szCs w:val="24"/>
        </w:rPr>
      </w:pPr>
      <w:r>
        <w:rPr>
          <w:rFonts w:ascii="Arial" w:hAnsi="Arial" w:cs="Arial"/>
          <w:sz w:val="24"/>
          <w:szCs w:val="24"/>
        </w:rPr>
        <w:t xml:space="preserve">The UK guideline is currently to screen yearly until children 7 years old, as the majority of ophthalmological problems requiring intervention first occur when the child is under 7[22] and children of this age do not report visual disturbance until severe. A number of groups suggest screening should continue up until the age of 10 or even 25 years as they can present later, and the consequence of delayed treatment can be serious [18]. </w:t>
      </w:r>
    </w:p>
    <w:p>
      <w:pPr>
        <w:pStyle w:val="21"/>
        <w:spacing w:line="240" w:lineRule="auto"/>
        <w:ind w:left="0" w:firstLine="720"/>
        <w:jc w:val="both"/>
        <w:rPr>
          <w:rFonts w:ascii="Arial" w:hAnsi="Arial" w:cs="Arial"/>
          <w:sz w:val="24"/>
          <w:szCs w:val="24"/>
        </w:rPr>
      </w:pPr>
      <w:r>
        <w:rPr>
          <w:rFonts w:ascii="Arial" w:hAnsi="Arial" w:cs="Arial"/>
          <w:sz w:val="24"/>
          <w:szCs w:val="24"/>
        </w:rPr>
        <w:t xml:space="preserve"> A sensible approach is to ensure complete ophthalmological screening by a paediatric ophthalmologist every 6 to 12 months until age 8 and beyond if symptoms are present. For children aged 9 to 14 with normal vision, an annual opthalmology examination should, if possible, be requested locally. Ages 15 and older should be screened annually by a local optician. Advice to seek assessment if any symptoms arise should always be given.</w:t>
      </w:r>
    </w:p>
    <w:p>
      <w:pPr>
        <w:pStyle w:val="21"/>
        <w:spacing w:line="360" w:lineRule="auto"/>
        <w:ind w:left="0" w:firstLine="360"/>
        <w:jc w:val="both"/>
        <w:rPr>
          <w:rFonts w:ascii="Arial" w:hAnsi="Arial" w:cs="Arial"/>
          <w:sz w:val="24"/>
          <w:szCs w:val="24"/>
        </w:rPr>
      </w:pPr>
    </w:p>
    <w:p>
      <w:pPr>
        <w:pStyle w:val="21"/>
        <w:spacing w:line="240" w:lineRule="auto"/>
        <w:ind w:left="0"/>
        <w:jc w:val="both"/>
        <w:rPr>
          <w:rFonts w:ascii="Arial" w:hAnsi="Arial" w:cs="Arial"/>
          <w:b/>
          <w:sz w:val="24"/>
          <w:szCs w:val="24"/>
        </w:rPr>
      </w:pPr>
    </w:p>
    <w:p>
      <w:pPr>
        <w:pStyle w:val="21"/>
        <w:spacing w:line="240" w:lineRule="auto"/>
        <w:ind w:left="0"/>
        <w:jc w:val="both"/>
        <w:rPr>
          <w:rFonts w:ascii="Arial" w:hAnsi="Arial" w:cs="Arial"/>
          <w:b/>
          <w:sz w:val="24"/>
          <w:szCs w:val="24"/>
        </w:rPr>
      </w:pPr>
    </w:p>
    <w:p>
      <w:pPr>
        <w:pStyle w:val="21"/>
        <w:spacing w:line="240" w:lineRule="auto"/>
        <w:ind w:left="0"/>
        <w:jc w:val="both"/>
        <w:rPr>
          <w:rFonts w:ascii="Arial" w:hAnsi="Arial" w:cs="Arial"/>
          <w:b/>
          <w:sz w:val="24"/>
          <w:szCs w:val="24"/>
        </w:rPr>
      </w:pPr>
    </w:p>
    <w:p>
      <w:pPr>
        <w:pStyle w:val="21"/>
        <w:spacing w:line="240" w:lineRule="auto"/>
        <w:ind w:left="0"/>
        <w:jc w:val="both"/>
        <w:rPr>
          <w:rFonts w:ascii="Arial" w:hAnsi="Arial" w:cs="Arial"/>
          <w:b/>
          <w:sz w:val="24"/>
          <w:szCs w:val="24"/>
        </w:rPr>
      </w:pPr>
      <w:r>
        <w:rPr>
          <w:rFonts w:ascii="Arial" w:hAnsi="Arial" w:cs="Arial"/>
          <w:b/>
          <w:sz w:val="24"/>
          <w:szCs w:val="24"/>
        </w:rPr>
        <w:t>Neurology</w:t>
      </w:r>
    </w:p>
    <w:p>
      <w:pPr>
        <w:pStyle w:val="21"/>
        <w:spacing w:line="240" w:lineRule="auto"/>
        <w:jc w:val="both"/>
        <w:rPr>
          <w:rFonts w:ascii="Arial" w:hAnsi="Arial" w:cs="Arial"/>
          <w:sz w:val="24"/>
          <w:szCs w:val="24"/>
        </w:rPr>
      </w:pPr>
    </w:p>
    <w:p>
      <w:pPr>
        <w:autoSpaceDE w:val="0"/>
        <w:autoSpaceDN w:val="0"/>
        <w:adjustRightInd w:val="0"/>
        <w:spacing w:after="0"/>
        <w:rPr>
          <w:rFonts w:ascii="Arial" w:hAnsi="Arial" w:eastAsia="SimSun" w:cs="Arial"/>
          <w:lang w:val="en-GB" w:eastAsia="en-GB"/>
        </w:rPr>
      </w:pPr>
      <w:r>
        <w:rPr>
          <w:rFonts w:ascii="Arial" w:hAnsi="Arial" w:cs="Arial"/>
        </w:rPr>
        <w:t xml:space="preserve">Neurological complications in NF1 are wide ranging; cognitive problems which we discuss separately are the most common. Children with NF1 often have macrocephaly; this does not require investigation unless there is rapid growth crossing the centile lines. Other complications include benign brain and optic pathway gliomas, hydrocephalus and cerebrovascular disease. Rarely cord compression can occur from a plexiform neurofibroma or dystrophic progressive scoliosis cord compression. Headaches (frequently migraine) are more prevalent in children with NF1 and not necessarily and indication to scan although a low threshold should be maintained. </w:t>
      </w:r>
    </w:p>
    <w:p>
      <w:pPr>
        <w:pStyle w:val="15"/>
        <w:spacing w:beforeAutospacing="0" w:afterAutospacing="0" w:line="18" w:lineRule="atLeast"/>
        <w:ind w:left="720"/>
        <w:textAlignment w:val="baseline"/>
        <w:rPr>
          <w:rFonts w:ascii="Arial" w:hAnsi="Arial" w:eastAsia="Calibri" w:cs="Arial"/>
          <w:lang w:eastAsia="en-US"/>
        </w:rPr>
      </w:pPr>
      <w:r>
        <w:rPr>
          <w:rFonts w:ascii="Arial" w:hAnsi="Arial" w:eastAsia="Calibri" w:cs="Arial"/>
          <w:lang w:eastAsia="en-US"/>
        </w:rPr>
        <w:t>[24].</w:t>
      </w:r>
    </w:p>
    <w:p>
      <w:pPr>
        <w:pStyle w:val="21"/>
        <w:spacing w:line="240" w:lineRule="auto"/>
        <w:ind w:left="0" w:firstLine="720"/>
        <w:jc w:val="both"/>
        <w:rPr>
          <w:rFonts w:ascii="Arial" w:hAnsi="Arial" w:cs="Arial"/>
          <w:sz w:val="24"/>
          <w:szCs w:val="24"/>
        </w:rPr>
      </w:pPr>
    </w:p>
    <w:p>
      <w:pPr>
        <w:pStyle w:val="21"/>
        <w:spacing w:line="240" w:lineRule="auto"/>
        <w:ind w:left="0" w:firstLine="720"/>
        <w:jc w:val="both"/>
        <w:rPr>
          <w:rFonts w:ascii="Arial" w:hAnsi="Arial" w:cs="Arial"/>
          <w:sz w:val="24"/>
          <w:szCs w:val="24"/>
        </w:rPr>
      </w:pPr>
      <w:r>
        <w:rPr>
          <w:rFonts w:ascii="Arial" w:hAnsi="Arial" w:cs="Arial"/>
          <w:sz w:val="24"/>
          <w:szCs w:val="24"/>
        </w:rPr>
        <w:t>It is important to take a thorough neurological history and examination, including sensory, motor and co-ordination assessments, which should aim to elicit any neurological deficit or any symptoms or signs of increased intracranial pressure.</w:t>
      </w:r>
    </w:p>
    <w:p>
      <w:pPr>
        <w:pStyle w:val="21"/>
        <w:spacing w:line="240" w:lineRule="auto"/>
        <w:ind w:left="0" w:firstLine="360"/>
        <w:jc w:val="both"/>
        <w:rPr>
          <w:rFonts w:ascii="Arial" w:hAnsi="Arial" w:cs="Arial"/>
          <w:sz w:val="24"/>
          <w:szCs w:val="24"/>
        </w:rPr>
      </w:pPr>
    </w:p>
    <w:p>
      <w:pPr>
        <w:pStyle w:val="21"/>
        <w:spacing w:line="240" w:lineRule="auto"/>
        <w:ind w:left="0"/>
        <w:jc w:val="both"/>
        <w:rPr>
          <w:rFonts w:ascii="Arial" w:hAnsi="Arial" w:cs="Arial"/>
          <w:sz w:val="24"/>
          <w:szCs w:val="24"/>
        </w:rPr>
      </w:pPr>
      <w:r>
        <w:rPr>
          <w:rFonts w:ascii="Arial" w:hAnsi="Arial" w:cs="Arial"/>
          <w:sz w:val="24"/>
          <w:szCs w:val="24"/>
        </w:rPr>
        <w:t xml:space="preserve">Additionally, head circumference should be measured and plotted to look for increase across centile lines, and epilepsy control should be reviewed. </w:t>
      </w:r>
    </w:p>
    <w:p>
      <w:pPr>
        <w:pStyle w:val="21"/>
        <w:spacing w:line="240" w:lineRule="auto"/>
        <w:ind w:left="0" w:firstLine="720"/>
        <w:jc w:val="both"/>
        <w:rPr>
          <w:rFonts w:ascii="Arial" w:hAnsi="Arial" w:cs="Arial"/>
          <w:sz w:val="24"/>
          <w:szCs w:val="24"/>
        </w:rPr>
      </w:pPr>
    </w:p>
    <w:p>
      <w:pPr>
        <w:pStyle w:val="21"/>
        <w:ind w:left="0" w:firstLine="720"/>
        <w:jc w:val="both"/>
        <w:rPr>
          <w:rFonts w:ascii="Arial" w:hAnsi="Arial" w:cs="Arial"/>
          <w:sz w:val="24"/>
          <w:szCs w:val="24"/>
          <w:lang w:val="en-GB" w:eastAsia="en-GB"/>
        </w:rPr>
      </w:pPr>
      <w:r>
        <w:rPr>
          <w:rFonts w:ascii="Arial" w:hAnsi="Arial" w:cs="Arial"/>
          <w:sz w:val="24"/>
          <w:szCs w:val="24"/>
        </w:rPr>
        <w:t xml:space="preserve">If there are signs of acute or progressive neurological disturbance a referral to a neurologist should be made; in the presence of signs of raised intracranial ICP, urgent imaging and a referral to a neurosurgeon should be arranged. Epilepsy occurs in 6-7% of people with NF1. This can range from infantile spasms in the infant period, which is rare, to focal seizures as children get older.  Children should be referred through standard regional protocols including an MRI at the point of diagnosis[25]. </w:t>
      </w:r>
    </w:p>
    <w:p>
      <w:pPr>
        <w:pStyle w:val="21"/>
        <w:spacing w:line="360" w:lineRule="auto"/>
        <w:ind w:left="0"/>
        <w:jc w:val="both"/>
        <w:rPr>
          <w:rFonts w:ascii="Arial" w:hAnsi="Arial" w:cs="Arial"/>
          <w:sz w:val="24"/>
          <w:szCs w:val="24"/>
        </w:rPr>
      </w:pPr>
      <w:r>
        <w:rPr>
          <w:rFonts w:ascii="Arial" w:hAnsi="Arial" w:cs="Arial"/>
          <w:sz w:val="24"/>
          <w:szCs w:val="24"/>
        </w:rPr>
        <w:t xml:space="preserve"> </w:t>
      </w:r>
    </w:p>
    <w:p>
      <w:pPr>
        <w:pStyle w:val="21"/>
        <w:spacing w:line="240" w:lineRule="auto"/>
        <w:ind w:left="0"/>
        <w:jc w:val="both"/>
        <w:rPr>
          <w:rFonts w:ascii="Arial" w:hAnsi="Arial" w:cs="Arial"/>
          <w:sz w:val="24"/>
          <w:szCs w:val="24"/>
        </w:rPr>
      </w:pPr>
    </w:p>
    <w:p>
      <w:pPr>
        <w:pStyle w:val="21"/>
        <w:spacing w:line="240" w:lineRule="auto"/>
        <w:ind w:left="0"/>
        <w:jc w:val="both"/>
        <w:rPr>
          <w:rFonts w:ascii="Arial" w:hAnsi="Arial" w:cs="Arial"/>
          <w:sz w:val="24"/>
          <w:szCs w:val="24"/>
        </w:rPr>
      </w:pPr>
      <w:r>
        <w:rPr>
          <w:rFonts w:ascii="Arial" w:hAnsi="Arial" w:cs="Arial"/>
          <w:b/>
          <w:sz w:val="24"/>
          <w:szCs w:val="24"/>
        </w:rPr>
        <w:t>Skeletal</w:t>
      </w:r>
    </w:p>
    <w:p>
      <w:pPr>
        <w:pStyle w:val="21"/>
        <w:spacing w:line="240" w:lineRule="auto"/>
        <w:ind w:left="0" w:firstLine="720"/>
        <w:jc w:val="both"/>
        <w:rPr>
          <w:rFonts w:ascii="Arial" w:hAnsi="Arial" w:cs="Arial"/>
          <w:sz w:val="24"/>
          <w:szCs w:val="24"/>
        </w:rPr>
      </w:pPr>
    </w:p>
    <w:p>
      <w:pPr>
        <w:pStyle w:val="21"/>
        <w:ind w:left="0" w:firstLine="720"/>
        <w:jc w:val="both"/>
        <w:rPr>
          <w:rFonts w:ascii="Arial" w:hAnsi="Arial" w:cs="Arial"/>
          <w:sz w:val="24"/>
          <w:szCs w:val="24"/>
          <w:lang w:val="en-GB" w:eastAsia="en-GB"/>
        </w:rPr>
      </w:pPr>
      <w:r>
        <w:rPr>
          <w:rFonts w:ascii="Arial" w:hAnsi="Arial" w:cs="Arial"/>
          <w:sz w:val="24"/>
          <w:szCs w:val="24"/>
        </w:rPr>
        <w:t>Bowing of the long bones - commonly the tibia- is seen in 2% in the first few months of life and is secondary to an intrinsic defect of bone formation [12]. Pathological fractures which are slow to heal and can lead to pseudoarthrosis present in young children as they start to walk and can be misdiagnosed as non-accidental injury. It is vital to examine the skin in any toddler presenting with a tibial fracture. NF1 is linked with decreased bone mineralisation [12]; vitamin D and or calcium supplements, should be considered in those who have suffered fractures.</w:t>
      </w:r>
    </w:p>
    <w:p>
      <w:pPr>
        <w:pStyle w:val="21"/>
        <w:ind w:left="0" w:firstLine="360"/>
        <w:jc w:val="both"/>
        <w:rPr>
          <w:rFonts w:ascii="Arial" w:hAnsi="Arial" w:cs="Arial"/>
          <w:sz w:val="24"/>
          <w:szCs w:val="24"/>
        </w:rPr>
      </w:pPr>
      <w:r>
        <w:rPr>
          <w:rFonts w:ascii="Arial" w:hAnsi="Arial" w:cs="Arial"/>
          <w:sz w:val="24"/>
          <w:szCs w:val="24"/>
        </w:rPr>
        <w:t xml:space="preserve"> Annual review should mainly focus on assessment for scoliosis particularlyin children over the age of 5. Children with NF1 are at risk of both idiopathic and less commonly dystrophic scoliosis, mainly affecting the lower cervical and upper thoracic spine [26]. The role of the secondary level paediatrician is to monitor for scoliosis and when found refer on to a specialist spinal team with expertise in NF1. </w:t>
      </w:r>
    </w:p>
    <w:p>
      <w:pPr>
        <w:pStyle w:val="21"/>
        <w:spacing w:line="240" w:lineRule="auto"/>
        <w:ind w:left="0"/>
        <w:jc w:val="both"/>
        <w:rPr>
          <w:rFonts w:ascii="Arial" w:hAnsi="Arial" w:cs="Arial"/>
          <w:sz w:val="24"/>
          <w:szCs w:val="24"/>
        </w:rPr>
      </w:pPr>
    </w:p>
    <w:p>
      <w:pPr>
        <w:pStyle w:val="21"/>
        <w:spacing w:line="240" w:lineRule="auto"/>
        <w:ind w:left="0"/>
        <w:jc w:val="both"/>
        <w:rPr>
          <w:rFonts w:ascii="Arial" w:hAnsi="Arial" w:cs="Arial"/>
          <w:sz w:val="24"/>
          <w:szCs w:val="24"/>
        </w:rPr>
      </w:pPr>
      <w:r>
        <w:rPr>
          <w:rFonts w:ascii="Arial" w:hAnsi="Arial" w:cs="Arial"/>
          <w:b/>
          <w:sz w:val="24"/>
          <w:szCs w:val="24"/>
        </w:rPr>
        <w:t>Physical Development</w:t>
      </w:r>
    </w:p>
    <w:p>
      <w:pPr>
        <w:pStyle w:val="21"/>
        <w:spacing w:line="240" w:lineRule="auto"/>
        <w:ind w:left="0" w:firstLine="720"/>
        <w:jc w:val="both"/>
        <w:rPr>
          <w:rFonts w:ascii="Arial" w:hAnsi="Arial" w:cs="Arial"/>
          <w:sz w:val="24"/>
          <w:szCs w:val="24"/>
        </w:rPr>
      </w:pPr>
    </w:p>
    <w:p>
      <w:pPr>
        <w:pStyle w:val="21"/>
        <w:ind w:left="0" w:firstLine="720"/>
        <w:jc w:val="both"/>
        <w:rPr>
          <w:rFonts w:ascii="Arial" w:hAnsi="Arial" w:cs="Arial"/>
          <w:sz w:val="24"/>
          <w:szCs w:val="24"/>
          <w:lang w:val="en-GB" w:eastAsia="en-GB"/>
        </w:rPr>
      </w:pPr>
      <w:r>
        <w:rPr>
          <w:rFonts w:ascii="Arial" w:hAnsi="Arial" w:cs="Arial"/>
          <w:sz w:val="24"/>
          <w:szCs w:val="24"/>
        </w:rPr>
        <w:t xml:space="preserve">Children should be measured carefully at each visit, including height, weight and head circumference and this should be potted on any centile chart. If there is any deviation referral to an endocrinologist should be made. Pubertal status should also be assessed, as this can be advanced or delayed in NF1 even in the absence of a pituitary tumour. Hypothalamic or pituitary disturbance may be caused by an optic pathway glioma and so cause delayed or precocious puberty. Rapidly increasing macrocephaly may indicate increasing tumour size or hydrocephalus. </w:t>
      </w:r>
    </w:p>
    <w:p>
      <w:pPr>
        <w:pStyle w:val="21"/>
        <w:spacing w:line="240" w:lineRule="auto"/>
        <w:ind w:left="0" w:firstLine="720"/>
        <w:jc w:val="both"/>
        <w:rPr>
          <w:rFonts w:ascii="Arial" w:hAnsi="Arial" w:cs="Arial"/>
          <w:sz w:val="24"/>
          <w:szCs w:val="24"/>
        </w:rPr>
      </w:pPr>
    </w:p>
    <w:p>
      <w:pPr>
        <w:spacing w:line="240" w:lineRule="auto"/>
        <w:jc w:val="both"/>
        <w:rPr>
          <w:rFonts w:ascii="Arial" w:hAnsi="Arial" w:cs="Arial"/>
          <w:b/>
          <w:sz w:val="24"/>
          <w:szCs w:val="24"/>
        </w:rPr>
      </w:pPr>
      <w:r>
        <w:rPr>
          <w:rFonts w:ascii="Arial" w:hAnsi="Arial" w:cs="Arial"/>
          <w:b/>
          <w:sz w:val="24"/>
          <w:szCs w:val="24"/>
        </w:rPr>
        <w:t>Cardiovascular</w:t>
      </w:r>
    </w:p>
    <w:p>
      <w:pPr>
        <w:jc w:val="both"/>
        <w:rPr>
          <w:rFonts w:ascii="Arial" w:hAnsi="Arial" w:cs="Arial"/>
          <w:sz w:val="24"/>
          <w:szCs w:val="24"/>
          <w:lang w:val="en-GB" w:eastAsia="en-GB"/>
        </w:rPr>
      </w:pPr>
      <w:r>
        <w:rPr>
          <w:rFonts w:ascii="Arial" w:hAnsi="Arial" w:cs="Arial"/>
          <w:b/>
          <w:sz w:val="24"/>
          <w:szCs w:val="24"/>
        </w:rPr>
        <w:t xml:space="preserve"> </w:t>
      </w:r>
      <w:r>
        <w:rPr>
          <w:rFonts w:ascii="Arial" w:hAnsi="Arial" w:cs="Arial"/>
          <w:sz w:val="24"/>
          <w:szCs w:val="24"/>
        </w:rPr>
        <w:t xml:space="preserve">Congenital heart disease, especially pulmonary stenosis, is associated with NF1 Noonan phenotype. The frequency of CHD in NF1 is quoted as being anywhere from 0.4 to 6.4%, with most studies suggesting the lower end of this spectrum. An echocardiogram to assess for CHD is only necessary if a murmur is heard. </w:t>
      </w:r>
    </w:p>
    <w:p>
      <w:pPr>
        <w:pStyle w:val="21"/>
        <w:ind w:left="0" w:firstLine="851"/>
        <w:jc w:val="both"/>
        <w:rPr>
          <w:rFonts w:ascii="Arial" w:hAnsi="Arial" w:cs="Arial"/>
          <w:sz w:val="24"/>
          <w:szCs w:val="24"/>
        </w:rPr>
      </w:pPr>
      <w:r>
        <w:rPr>
          <w:rFonts w:ascii="Arial" w:hAnsi="Arial" w:cs="Arial"/>
          <w:sz w:val="24"/>
          <w:szCs w:val="24"/>
        </w:rPr>
        <w:t>Hypertension is also seen in NF1 and increasingly so with age. While it is usually related to essential hypertension, it is important to exclude coarctation of the aorta, renal artery stenosis and phaeochromocytoma [27]. In view of this:</w:t>
      </w:r>
    </w:p>
    <w:p>
      <w:pPr>
        <w:pStyle w:val="21"/>
        <w:ind w:left="0" w:firstLine="851"/>
        <w:jc w:val="both"/>
        <w:rPr>
          <w:rFonts w:ascii="Arial" w:hAnsi="Arial" w:cs="Arial"/>
          <w:sz w:val="24"/>
          <w:szCs w:val="24"/>
        </w:rPr>
      </w:pPr>
      <w:r>
        <w:rPr>
          <w:rFonts w:ascii="Arial" w:hAnsi="Arial" w:cs="Arial"/>
          <w:sz w:val="24"/>
          <w:szCs w:val="24"/>
        </w:rPr>
        <w:t xml:space="preserve"> </w:t>
      </w:r>
    </w:p>
    <w:p>
      <w:pPr>
        <w:pStyle w:val="21"/>
        <w:numPr>
          <w:ilvl w:val="0"/>
          <w:numId w:val="6"/>
        </w:numPr>
        <w:spacing w:before="100" w:beforeAutospacing="1" w:line="273" w:lineRule="auto"/>
        <w:jc w:val="both"/>
        <w:rPr>
          <w:rFonts w:ascii="Arial" w:hAnsi="Arial" w:cs="Arial"/>
          <w:sz w:val="24"/>
          <w:szCs w:val="24"/>
        </w:rPr>
      </w:pPr>
      <w:r>
        <w:rPr>
          <w:rFonts w:ascii="Arial" w:hAnsi="Arial" w:cs="Arial"/>
          <w:sz w:val="24"/>
          <w:szCs w:val="24"/>
        </w:rPr>
        <w:t>Assess blood pressure annually. If concerns arrange 24hr ambulatory BP and if raised refer to paediatric nephrologist</w:t>
      </w:r>
    </w:p>
    <w:p>
      <w:pPr>
        <w:pStyle w:val="21"/>
        <w:numPr>
          <w:ilvl w:val="0"/>
          <w:numId w:val="6"/>
        </w:numPr>
        <w:spacing w:before="100" w:beforeAutospacing="1" w:line="273" w:lineRule="auto"/>
        <w:jc w:val="both"/>
        <w:rPr>
          <w:rFonts w:ascii="Arial" w:hAnsi="Arial" w:cs="Arial"/>
          <w:sz w:val="24"/>
          <w:szCs w:val="24"/>
        </w:rPr>
      </w:pPr>
      <w:r>
        <w:rPr>
          <w:rFonts w:ascii="Arial" w:hAnsi="Arial" w:cs="Arial"/>
          <w:sz w:val="24"/>
          <w:szCs w:val="24"/>
        </w:rPr>
        <w:t>Arrange an echocardiogram in all children with hypertension or differences between pulses / pressures between limbs to screen for coarctation.</w:t>
      </w:r>
    </w:p>
    <w:p>
      <w:pPr>
        <w:pStyle w:val="21"/>
        <w:numPr>
          <w:ilvl w:val="0"/>
          <w:numId w:val="6"/>
        </w:numPr>
        <w:spacing w:before="100" w:beforeAutospacing="1" w:line="273" w:lineRule="auto"/>
        <w:jc w:val="both"/>
        <w:rPr>
          <w:rFonts w:ascii="Arial" w:hAnsi="Arial" w:cs="Arial"/>
          <w:sz w:val="24"/>
          <w:szCs w:val="24"/>
        </w:rPr>
      </w:pPr>
      <w:r>
        <w:rPr>
          <w:rFonts w:ascii="Arial" w:hAnsi="Arial" w:cs="Arial"/>
          <w:sz w:val="24"/>
          <w:szCs w:val="24"/>
        </w:rPr>
        <w:t>If echo is normal arrange a renal ultrasound with Doppler to look for renal artery stenosis.</w:t>
      </w:r>
    </w:p>
    <w:p>
      <w:pPr>
        <w:pStyle w:val="21"/>
        <w:numPr>
          <w:ilvl w:val="0"/>
          <w:numId w:val="6"/>
        </w:numPr>
        <w:spacing w:before="100" w:beforeAutospacing="1" w:line="273" w:lineRule="auto"/>
        <w:jc w:val="both"/>
        <w:rPr>
          <w:rFonts w:ascii="Arial" w:hAnsi="Arial" w:cs="Arial"/>
          <w:sz w:val="24"/>
          <w:szCs w:val="24"/>
        </w:rPr>
      </w:pPr>
      <w:r>
        <w:rPr>
          <w:rFonts w:ascii="Arial" w:hAnsi="Arial" w:cs="Arial"/>
          <w:sz w:val="24"/>
          <w:szCs w:val="24"/>
        </w:rPr>
        <w:t xml:space="preserve">Consider testing for phaeochromocytoma if hypertension is refractory to treatment or if there are symptoms of catecholamine excess but note that phaeochromocytomas rarely present in childhood.   </w:t>
      </w:r>
    </w:p>
    <w:p>
      <w:pPr>
        <w:pStyle w:val="21"/>
        <w:ind w:left="0" w:firstLine="851"/>
        <w:jc w:val="both"/>
        <w:rPr>
          <w:rFonts w:ascii="Arial" w:hAnsi="Arial" w:cs="Arial"/>
          <w:sz w:val="24"/>
          <w:szCs w:val="24"/>
        </w:rPr>
      </w:pPr>
      <w:r>
        <w:rPr>
          <w:rFonts w:ascii="Arial" w:hAnsi="Arial" w:cs="Arial"/>
          <w:sz w:val="24"/>
          <w:szCs w:val="24"/>
        </w:rPr>
        <w:t xml:space="preserve"> </w:t>
      </w:r>
    </w:p>
    <w:p>
      <w:pPr>
        <w:pStyle w:val="21"/>
        <w:ind w:left="0" w:firstLine="851"/>
        <w:jc w:val="both"/>
        <w:rPr>
          <w:rFonts w:ascii="Arial" w:hAnsi="Arial" w:cs="Arial"/>
          <w:sz w:val="24"/>
          <w:szCs w:val="24"/>
        </w:rPr>
      </w:pPr>
      <w:r>
        <w:rPr>
          <w:rFonts w:ascii="Arial" w:hAnsi="Arial" w:cs="Arial"/>
          <w:sz w:val="24"/>
          <w:szCs w:val="24"/>
        </w:rPr>
        <w:t>NF1 is associated with a vasculopathy. Aneurysms, stenoses, occlusions, ruptures and fistulae are all seen [27], e.g., renal artery stenosis. Any acute neurological deterioration in a patient with NF1 should raise the suspicion of cerebrovascular disease; in children, acute deficits usually reflect thrombo-embolic events.</w:t>
      </w:r>
    </w:p>
    <w:p>
      <w:pPr>
        <w:spacing w:line="240" w:lineRule="auto"/>
        <w:jc w:val="both"/>
        <w:rPr>
          <w:rFonts w:ascii="Arial" w:hAnsi="Arial" w:cs="Arial"/>
          <w:sz w:val="24"/>
          <w:szCs w:val="24"/>
        </w:rPr>
      </w:pPr>
    </w:p>
    <w:p>
      <w:pPr>
        <w:pStyle w:val="21"/>
        <w:ind w:left="0"/>
        <w:jc w:val="both"/>
        <w:rPr>
          <w:rFonts w:ascii="Arial" w:hAnsi="Arial" w:cs="Arial"/>
          <w:sz w:val="24"/>
          <w:szCs w:val="24"/>
          <w:lang w:val="en-GB" w:eastAsia="en-GB"/>
        </w:rPr>
      </w:pPr>
      <w:r>
        <w:rPr>
          <w:rFonts w:ascii="Arial" w:hAnsi="Arial" w:cs="Arial"/>
          <w:b/>
          <w:sz w:val="24"/>
          <w:szCs w:val="24"/>
        </w:rPr>
        <w:t>Other systems dependent on symptoms</w:t>
      </w:r>
    </w:p>
    <w:p>
      <w:pPr>
        <w:pStyle w:val="21"/>
        <w:jc w:val="both"/>
        <w:rPr>
          <w:rFonts w:ascii="Arial" w:hAnsi="Arial" w:cs="Arial"/>
          <w:sz w:val="24"/>
          <w:szCs w:val="24"/>
        </w:rPr>
      </w:pPr>
      <w:r>
        <w:rPr>
          <w:rFonts w:ascii="Arial" w:hAnsi="Arial" w:cs="Arial"/>
          <w:sz w:val="24"/>
          <w:szCs w:val="24"/>
        </w:rPr>
        <w:t xml:space="preserve"> </w:t>
      </w:r>
    </w:p>
    <w:p>
      <w:pPr>
        <w:pStyle w:val="21"/>
        <w:ind w:left="0" w:firstLine="851"/>
        <w:jc w:val="both"/>
        <w:rPr>
          <w:rFonts w:ascii="Arial" w:hAnsi="Arial" w:cs="Arial"/>
          <w:sz w:val="24"/>
          <w:szCs w:val="24"/>
        </w:rPr>
      </w:pPr>
      <w:r>
        <w:rPr>
          <w:rFonts w:ascii="Arial" w:hAnsi="Arial" w:cs="Arial"/>
          <w:sz w:val="24"/>
          <w:szCs w:val="24"/>
        </w:rPr>
        <w:t xml:space="preserve">Further examination or tests of other systems may be necessary depending on what has been discovered in the history and from the other systems. Abdominal examination is not needed routinely at annual review, but if symptoms such as pain, bloating or GI bleeding are reported or anaemia is under investigation, then the abdomen should be examined and possibly imaged to exlude an abdominal plexiform neurofibroma. Gastrointestinal stromal tumours can occur in adult patients with NF1 but are rarely seen in children [12,28]. </w:t>
      </w:r>
    </w:p>
    <w:p>
      <w:pPr>
        <w:pStyle w:val="21"/>
        <w:spacing w:line="240" w:lineRule="auto"/>
        <w:ind w:left="0" w:firstLine="851"/>
        <w:jc w:val="both"/>
        <w:rPr>
          <w:rFonts w:ascii="Arial" w:hAnsi="Arial" w:cs="Arial"/>
          <w:sz w:val="24"/>
          <w:szCs w:val="24"/>
        </w:rPr>
      </w:pPr>
    </w:p>
    <w:p>
      <w:pPr>
        <w:pStyle w:val="21"/>
        <w:spacing w:line="240" w:lineRule="auto"/>
        <w:ind w:left="0"/>
        <w:jc w:val="both"/>
        <w:rPr>
          <w:rFonts w:ascii="Arial" w:hAnsi="Arial" w:cs="Arial"/>
          <w:sz w:val="24"/>
          <w:szCs w:val="24"/>
        </w:rPr>
      </w:pPr>
      <w:r>
        <w:rPr>
          <w:rFonts w:ascii="Arial" w:hAnsi="Arial" w:cs="Arial"/>
          <w:b/>
          <w:sz w:val="24"/>
          <w:szCs w:val="24"/>
        </w:rPr>
        <w:t>Education and behaviour</w:t>
      </w:r>
    </w:p>
    <w:p>
      <w:pPr>
        <w:spacing w:after="0" w:line="240" w:lineRule="auto"/>
        <w:ind w:firstLine="720"/>
        <w:jc w:val="both"/>
        <w:textAlignment w:val="top"/>
        <w:rPr>
          <w:rFonts w:ascii="Arial" w:hAnsi="Arial" w:cs="Arial"/>
          <w:sz w:val="24"/>
          <w:szCs w:val="24"/>
        </w:rPr>
      </w:pPr>
      <w:r>
        <w:rPr>
          <w:rFonts w:ascii="Arial" w:hAnsi="Arial" w:cs="Arial"/>
          <w:sz w:val="24"/>
          <w:szCs w:val="24"/>
        </w:rPr>
        <w:t xml:space="preserve">The annual review offers an important opportunity to review school performance and behaviour. Specific learning problems are observed in 30-60% of children [29] and these cognitive problems persist into adulthood. IQ is often in the low average range, with an overall IQ of 70 or less being rare. Attention difficulties, hyperactivity and autistic spectrum disorder all occur at increased frequency [30]. </w:t>
      </w:r>
    </w:p>
    <w:p>
      <w:pPr>
        <w:pStyle w:val="21"/>
        <w:spacing w:line="240" w:lineRule="auto"/>
        <w:ind w:left="0" w:firstLine="851"/>
        <w:jc w:val="both"/>
        <w:rPr>
          <w:rFonts w:ascii="Arial" w:hAnsi="Arial" w:cs="Arial"/>
          <w:sz w:val="24"/>
          <w:szCs w:val="24"/>
        </w:rPr>
      </w:pPr>
      <w:r>
        <w:rPr>
          <w:rFonts w:ascii="Arial" w:hAnsi="Arial" w:cs="Arial"/>
          <w:sz w:val="24"/>
          <w:szCs w:val="24"/>
        </w:rPr>
        <w:t>At annual review questions should be asked about school progress, (including reviewing the report and contacting the school where necessary for more information), sleep patterns, concentration, distractibility, social interaction and fine / gross motor skills. If problems are identified a referral for a detailed evaluation should be made. The most appropriate referral will depend on the problems identified, but may include educational/clinical psychology, a community paediatrician, family therapy or a neurologist. Early identification of such problems enables appropriate support and strategies to be put in place which may change the outcome for that child. Attention deficit in NF1 has been shown to respond to cognitive behavioural therapy and methylphenidate [30]. A special educational needs coordinator needs to be involved</w:t>
      </w:r>
    </w:p>
    <w:p>
      <w:pPr>
        <w:pStyle w:val="21"/>
        <w:spacing w:line="240" w:lineRule="auto"/>
        <w:ind w:left="0"/>
        <w:jc w:val="both"/>
        <w:rPr>
          <w:rFonts w:ascii="Arial" w:hAnsi="Arial" w:cs="Arial"/>
          <w:b/>
          <w:sz w:val="24"/>
          <w:szCs w:val="24"/>
        </w:rPr>
      </w:pPr>
    </w:p>
    <w:p>
      <w:pPr>
        <w:pStyle w:val="21"/>
        <w:spacing w:line="240" w:lineRule="auto"/>
        <w:ind w:left="0"/>
        <w:jc w:val="both"/>
        <w:rPr>
          <w:rFonts w:ascii="Arial" w:hAnsi="Arial" w:cs="Arial"/>
          <w:b/>
          <w:sz w:val="24"/>
          <w:szCs w:val="24"/>
        </w:rPr>
      </w:pPr>
    </w:p>
    <w:p>
      <w:pPr>
        <w:pStyle w:val="21"/>
        <w:spacing w:line="240" w:lineRule="auto"/>
        <w:ind w:left="0"/>
        <w:jc w:val="both"/>
        <w:rPr>
          <w:rFonts w:ascii="Arial" w:hAnsi="Arial" w:cs="Arial"/>
          <w:b/>
          <w:sz w:val="24"/>
          <w:szCs w:val="24"/>
        </w:rPr>
      </w:pPr>
      <w:r>
        <w:rPr>
          <w:rFonts w:ascii="Arial" w:hAnsi="Arial" w:cs="Arial"/>
          <w:b/>
          <w:sz w:val="24"/>
          <w:szCs w:val="24"/>
        </w:rPr>
        <w:t>Psychological</w:t>
      </w:r>
    </w:p>
    <w:p>
      <w:pPr>
        <w:pStyle w:val="21"/>
        <w:spacing w:line="240" w:lineRule="auto"/>
        <w:jc w:val="both"/>
        <w:rPr>
          <w:rFonts w:ascii="Arial" w:hAnsi="Arial" w:cs="Arial"/>
          <w:b/>
          <w:sz w:val="24"/>
          <w:szCs w:val="24"/>
        </w:rPr>
      </w:pPr>
    </w:p>
    <w:p>
      <w:pPr>
        <w:pStyle w:val="21"/>
        <w:spacing w:line="240" w:lineRule="auto"/>
        <w:ind w:left="0" w:firstLine="851"/>
        <w:jc w:val="both"/>
        <w:rPr>
          <w:rFonts w:ascii="Arial" w:hAnsi="Arial" w:cs="Arial"/>
          <w:sz w:val="24"/>
          <w:szCs w:val="24"/>
        </w:rPr>
      </w:pPr>
      <w:r>
        <w:rPr>
          <w:rFonts w:ascii="Arial" w:hAnsi="Arial" w:cs="Arial"/>
          <w:sz w:val="24"/>
          <w:szCs w:val="24"/>
        </w:rPr>
        <w:t>The psychological burden of NF1 is significant. Patients may struggle as they grasp the implications of their diagnosis and also to come to terms with the disfigurement caused by neurofibromas which tend to develop mainly in late adolescence. Psychological problems will often become apparent during discussion of educational progress and behaviour. In older children and young adults, it is important to ask about symptoms of depression/anxiety and consider referral to counseling or psychiatric services. A referral to a plastic surgeon or dermatologist may also be appropriate if lesions which may not otherwise warrant referral are causing significant psychological distress.</w:t>
      </w:r>
    </w:p>
    <w:p>
      <w:pPr>
        <w:tabs>
          <w:tab w:val="left" w:pos="709"/>
        </w:tabs>
        <w:spacing w:line="240" w:lineRule="auto"/>
        <w:jc w:val="both"/>
        <w:rPr>
          <w:rFonts w:ascii="Arial" w:hAnsi="Arial" w:cs="Arial"/>
          <w:b/>
          <w:sz w:val="24"/>
          <w:szCs w:val="24"/>
        </w:rPr>
      </w:pPr>
    </w:p>
    <w:p>
      <w:pPr>
        <w:tabs>
          <w:tab w:val="left" w:pos="709"/>
        </w:tabs>
        <w:spacing w:line="240" w:lineRule="auto"/>
        <w:jc w:val="both"/>
        <w:rPr>
          <w:rFonts w:ascii="Arial" w:hAnsi="Arial" w:cs="Arial"/>
          <w:b/>
          <w:sz w:val="24"/>
          <w:szCs w:val="24"/>
        </w:rPr>
      </w:pPr>
    </w:p>
    <w:p>
      <w:pPr>
        <w:tabs>
          <w:tab w:val="left" w:pos="709"/>
        </w:tabs>
        <w:spacing w:line="240" w:lineRule="auto"/>
        <w:jc w:val="both"/>
        <w:rPr>
          <w:rFonts w:ascii="Arial" w:hAnsi="Arial" w:cs="Arial"/>
          <w:b/>
          <w:sz w:val="24"/>
          <w:szCs w:val="24"/>
        </w:rPr>
      </w:pPr>
      <w:r>
        <w:rPr>
          <w:rFonts w:ascii="Arial" w:hAnsi="Arial" w:cs="Arial"/>
          <w:b/>
          <w:sz w:val="24"/>
          <w:szCs w:val="24"/>
        </w:rPr>
        <w:t>Transition</w:t>
      </w:r>
    </w:p>
    <w:p>
      <w:pPr>
        <w:tabs>
          <w:tab w:val="left" w:pos="709"/>
        </w:tabs>
        <w:spacing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 xml:space="preserve">Active planning needs to be undertaken from the mental age of 13 years or chronological age of 15 years, for transition through to adult services – aged 16-18 years (dependent on maturity and mental age). Ideally, they should have access to a specialist dealing in neurogenetic disorders such as NF1 for their yearly review. Where this is not possible, the young adult, family and general practitioner should be empowered to take ownership of subsequent surveillance, but annual review should be continued to the age of 25 years as a minimum. It is vital that the young adult and or their carers are fully aware of what symptoms should cause them to seek medical review, and particularly what symptoms may arouse suspicion of malignant peripheral nerve sheath tumours (MPNST). </w:t>
      </w:r>
    </w:p>
    <w:p>
      <w:pPr>
        <w:tabs>
          <w:tab w:val="left" w:pos="709"/>
        </w:tabs>
        <w:spacing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 xml:space="preserve">The annual follow up from 16 to 25 years gives a good opportunity for education to occur and should continue to include dermatology, ophthalmology, neurology and cardiovascular assessments. If hypertension is diagnosed in young adults, and especially if pregnant, renovascular disease should be considered; this is rarer in older patients. Phaeochromocytoma should be considered in those with hypertension arising in pregnancy or if it is refractory to treatment / associated with symptoms of catecholamine excess. The paediatrician, with help from the tertiary NF1 specialist, should summarise the recommendations in a format allowing understanding by the young adult (depending on their mental age), and appropriate carers / GP. </w:t>
      </w:r>
    </w:p>
    <w:p>
      <w:pPr>
        <w:pStyle w:val="21"/>
        <w:spacing w:line="240" w:lineRule="auto"/>
        <w:ind w:left="0" w:firstLine="360"/>
        <w:jc w:val="both"/>
        <w:rPr>
          <w:rFonts w:ascii="Arial" w:hAnsi="Arial" w:cs="Arial"/>
          <w:b/>
          <w:sz w:val="24"/>
          <w:szCs w:val="24"/>
        </w:rPr>
      </w:pPr>
    </w:p>
    <w:p>
      <w:pPr>
        <w:pStyle w:val="21"/>
        <w:spacing w:line="240" w:lineRule="auto"/>
        <w:ind w:left="0"/>
        <w:rPr>
          <w:rFonts w:ascii="Arial" w:hAnsi="Arial" w:cs="Arial"/>
          <w:b/>
          <w:sz w:val="24"/>
          <w:szCs w:val="24"/>
        </w:rPr>
      </w:pPr>
      <w:r>
        <w:rPr>
          <w:rFonts w:ascii="Arial" w:hAnsi="Arial" w:cs="Arial"/>
          <w:b/>
          <w:sz w:val="24"/>
          <w:szCs w:val="24"/>
        </w:rPr>
        <w:t>Extra considerations in the young adult:</w:t>
      </w:r>
    </w:p>
    <w:p>
      <w:pPr>
        <w:pStyle w:val="21"/>
        <w:spacing w:line="240" w:lineRule="auto"/>
        <w:ind w:left="0"/>
        <w:jc w:val="both"/>
        <w:rPr>
          <w:rFonts w:ascii="Arial" w:hAnsi="Arial" w:cs="Arial"/>
          <w:sz w:val="24"/>
          <w:szCs w:val="24"/>
        </w:rPr>
      </w:pPr>
    </w:p>
    <w:p>
      <w:pPr>
        <w:pStyle w:val="21"/>
        <w:spacing w:line="240" w:lineRule="auto"/>
        <w:ind w:left="0" w:firstLine="851"/>
        <w:jc w:val="both"/>
        <w:rPr>
          <w:rFonts w:ascii="Arial" w:hAnsi="Arial" w:cs="Arial"/>
          <w:sz w:val="24"/>
          <w:szCs w:val="24"/>
        </w:rPr>
      </w:pPr>
      <w:r>
        <w:rPr>
          <w:rFonts w:ascii="Arial" w:hAnsi="Arial" w:cs="Arial"/>
          <w:sz w:val="24"/>
          <w:szCs w:val="24"/>
        </w:rPr>
        <w:t>All patients with NF1 who may want to consider having children should be offered a referral to clinical genetics and be told about the possibility of pre-natal and pre-implantation testing. Women also need to be counselled on the potential complications of pregnancy [28], including hypertension and the possibility that their neurofibromas may increase in size or number and may also itch more during pregnancy.</w:t>
      </w:r>
    </w:p>
    <w:p>
      <w:pPr>
        <w:pStyle w:val="21"/>
        <w:spacing w:line="240" w:lineRule="auto"/>
        <w:ind w:left="0" w:firstLine="851"/>
        <w:jc w:val="both"/>
        <w:rPr>
          <w:rFonts w:ascii="Arial" w:hAnsi="Arial" w:cs="Arial"/>
          <w:sz w:val="24"/>
          <w:szCs w:val="24"/>
        </w:rPr>
      </w:pPr>
      <w:r>
        <w:rPr>
          <w:rFonts w:ascii="Arial" w:hAnsi="Arial" w:cs="Arial"/>
          <w:sz w:val="24"/>
          <w:szCs w:val="24"/>
        </w:rPr>
        <w:t>The risk of breast cancer is increased in the NF1 population. Young adults need to be informed about this risk, especially if they are going to discontinue follow up after the age of 25 years. Breast cancer risk increases four to eleven times in women aged 40 to 50 [32]. They at least fall into the "moderate risk" category and should have annual mammography from the age of 40 years [33]. The risk of developing breast cancer on the opposite side is higher in women with NF1, and their survival rates are low[34].</w:t>
      </w:r>
    </w:p>
    <w:p>
      <w:pPr>
        <w:pStyle w:val="21"/>
        <w:spacing w:line="240" w:lineRule="auto"/>
        <w:ind w:left="0" w:firstLine="851"/>
        <w:jc w:val="both"/>
        <w:rPr>
          <w:rFonts w:ascii="Arial" w:hAnsi="Arial" w:cs="Arial"/>
          <w:sz w:val="24"/>
          <w:szCs w:val="24"/>
        </w:rPr>
      </w:pPr>
      <w:r>
        <w:rPr>
          <w:rFonts w:ascii="Arial" w:hAnsi="Arial" w:cs="Arial"/>
          <w:sz w:val="24"/>
          <w:szCs w:val="24"/>
        </w:rPr>
        <w:t>There have been individual case reports of affected males; it is therefore probably wise to advise male patients to monitor themselves for breast lumps.</w:t>
      </w:r>
    </w:p>
    <w:p>
      <w:pPr>
        <w:pStyle w:val="21"/>
        <w:spacing w:line="240" w:lineRule="auto"/>
        <w:ind w:left="0" w:firstLine="851"/>
        <w:jc w:val="both"/>
        <w:rPr>
          <w:rFonts w:ascii="Arial" w:hAnsi="Arial" w:cs="Arial"/>
          <w:sz w:val="24"/>
          <w:szCs w:val="24"/>
        </w:rPr>
      </w:pPr>
      <w:r>
        <w:rPr>
          <w:rFonts w:ascii="Arial" w:hAnsi="Arial" w:cs="Arial"/>
          <w:sz w:val="24"/>
          <w:szCs w:val="24"/>
        </w:rPr>
        <w:t>It is advised that annual review should continue until patients are in their mid-twenties [12] after which point further follow up will depend on disease severity and the patient’s wishes. Beyond the age of 25, an asymptomatic adult may only need an annual blood pressure check and referral to specialist services only if complications arise or if advice about pregnancy is required. However, a more severe case may need continued hospital follow up, as discussed above.</w:t>
      </w:r>
    </w:p>
    <w:p>
      <w:pPr>
        <w:pStyle w:val="21"/>
        <w:spacing w:line="240" w:lineRule="auto"/>
        <w:ind w:left="0" w:firstLine="851"/>
        <w:jc w:val="both"/>
        <w:rPr>
          <w:rFonts w:ascii="Arial" w:hAnsi="Arial" w:cs="Arial"/>
          <w:sz w:val="24"/>
          <w:szCs w:val="24"/>
        </w:rPr>
      </w:pPr>
      <w:r>
        <w:rPr>
          <w:rFonts w:ascii="Arial" w:hAnsi="Arial" w:cs="Arial"/>
          <w:sz w:val="24"/>
          <w:szCs w:val="24"/>
        </w:rPr>
        <w:t>Within the authors’ own practice, we recommend that when young adults reach the age of 25 years, they request an annual meeting with their general practitioner but note the lack of guideline supporting this.</w:t>
      </w:r>
    </w:p>
    <w:p>
      <w:pPr>
        <w:pStyle w:val="21"/>
        <w:spacing w:line="240" w:lineRule="auto"/>
        <w:ind w:left="0" w:firstLine="360"/>
        <w:jc w:val="both"/>
        <w:rPr>
          <w:rFonts w:ascii="Arial" w:hAnsi="Arial" w:cs="Arial"/>
          <w:sz w:val="24"/>
          <w:szCs w:val="24"/>
        </w:rPr>
      </w:pPr>
    </w:p>
    <w:p>
      <w:pPr>
        <w:tabs>
          <w:tab w:val="left" w:pos="1530"/>
        </w:tabs>
        <w:spacing w:line="240" w:lineRule="auto"/>
        <w:jc w:val="both"/>
        <w:outlineLvl w:val="0"/>
        <w:rPr>
          <w:rFonts w:ascii="Arial" w:hAnsi="Arial" w:cs="Arial"/>
          <w:b/>
          <w:sz w:val="24"/>
          <w:szCs w:val="24"/>
        </w:rPr>
      </w:pPr>
    </w:p>
    <w:p>
      <w:pPr>
        <w:tabs>
          <w:tab w:val="left" w:pos="1530"/>
        </w:tabs>
        <w:spacing w:line="240" w:lineRule="auto"/>
        <w:jc w:val="both"/>
        <w:outlineLvl w:val="0"/>
        <w:rPr>
          <w:rFonts w:ascii="Arial" w:hAnsi="Arial" w:cs="Arial"/>
          <w:b/>
          <w:sz w:val="24"/>
          <w:szCs w:val="24"/>
        </w:rPr>
      </w:pPr>
    </w:p>
    <w:p>
      <w:pPr>
        <w:tabs>
          <w:tab w:val="left" w:pos="1530"/>
        </w:tabs>
        <w:spacing w:line="240" w:lineRule="auto"/>
        <w:jc w:val="both"/>
        <w:outlineLvl w:val="0"/>
        <w:rPr>
          <w:rFonts w:ascii="Arial" w:hAnsi="Arial" w:cs="Arial"/>
          <w:b/>
          <w:sz w:val="24"/>
          <w:szCs w:val="24"/>
        </w:rPr>
      </w:pPr>
    </w:p>
    <w:p>
      <w:pPr>
        <w:tabs>
          <w:tab w:val="left" w:pos="1530"/>
        </w:tabs>
        <w:spacing w:line="240" w:lineRule="auto"/>
        <w:jc w:val="both"/>
        <w:outlineLvl w:val="0"/>
        <w:rPr>
          <w:rFonts w:ascii="Arial" w:hAnsi="Arial" w:cs="Arial"/>
          <w:b/>
          <w:sz w:val="24"/>
          <w:szCs w:val="24"/>
        </w:rPr>
      </w:pPr>
      <w:r>
        <w:rPr>
          <w:rFonts w:ascii="Arial" w:hAnsi="Arial" w:cs="Arial"/>
          <w:b/>
          <w:sz w:val="24"/>
          <w:szCs w:val="24"/>
        </w:rPr>
        <w:t>Concluding the consultation</w:t>
      </w:r>
    </w:p>
    <w:p>
      <w:pPr>
        <w:tabs>
          <w:tab w:val="left" w:pos="720"/>
        </w:tabs>
        <w:spacing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 xml:space="preserve">NF1, with its multiple complex manifestations, can cause substantial parental anxiety and can prove to be a social, emotional and economic burden to the family. Families will often have many questions to ask when they come for review. Patient organisations such as the Neurofibromatosis Association can be invaluable in providing some of the necessary support and answers to questions. Alongside welfare concerns are the more scientific queries regarding ongoing research. While a secondary care level paediatrician would not necessarily have the answers to all the questions a parent may have about ongoing research or complex management decisions, it is important that parents can be pointed to where they can find more information. We hope that this article can provide some answers to questions from parents, but very often their questions will be beyond its scope and in such cases the paediatrician should have a low threshold for contacting the regional NF expert. </w:t>
      </w:r>
    </w:p>
    <w:p>
      <w:pPr>
        <w:tabs>
          <w:tab w:val="left" w:pos="720"/>
        </w:tabs>
        <w:spacing w:line="240" w:lineRule="auto"/>
        <w:jc w:val="both"/>
        <w:rPr>
          <w:rFonts w:ascii="Times New Roman" w:hAnsi="Times New Roman"/>
          <w:sz w:val="24"/>
          <w:szCs w:val="24"/>
        </w:rPr>
      </w:pPr>
    </w:p>
    <w:p>
      <w:pPr>
        <w:tabs>
          <w:tab w:val="left" w:pos="720"/>
        </w:tabs>
        <w:spacing w:line="240" w:lineRule="auto"/>
        <w:jc w:val="both"/>
        <w:rPr>
          <w:rFonts w:ascii="Times New Roman" w:hAnsi="Times New Roman"/>
          <w:sz w:val="24"/>
          <w:szCs w:val="24"/>
        </w:rPr>
      </w:pPr>
    </w:p>
    <w:p>
      <w:pPr>
        <w:tabs>
          <w:tab w:val="left" w:pos="720"/>
        </w:tabs>
        <w:spacing w:line="240" w:lineRule="auto"/>
        <w:jc w:val="both"/>
        <w:rPr>
          <w:rFonts w:ascii="Times New Roman" w:hAnsi="Times New Roman"/>
          <w:sz w:val="24"/>
          <w:szCs w:val="24"/>
        </w:rPr>
      </w:pPr>
    </w:p>
    <w:p>
      <w:pPr>
        <w:tabs>
          <w:tab w:val="left" w:pos="720"/>
        </w:tabs>
        <w:spacing w:line="240" w:lineRule="auto"/>
        <w:jc w:val="both"/>
        <w:rPr>
          <w:rFonts w:ascii="Times New Roman" w:hAnsi="Times New Roman"/>
          <w:sz w:val="24"/>
          <w:szCs w:val="24"/>
        </w:rPr>
      </w:pPr>
    </w:p>
    <w:p>
      <w:pPr>
        <w:tabs>
          <w:tab w:val="left" w:pos="720"/>
        </w:tabs>
        <w:spacing w:line="240" w:lineRule="auto"/>
        <w:jc w:val="both"/>
        <w:rPr>
          <w:rFonts w:ascii="Times New Roman" w:hAnsi="Times New Roman"/>
          <w:sz w:val="24"/>
          <w:szCs w:val="24"/>
        </w:rPr>
      </w:pPr>
    </w:p>
    <w:p>
      <w:pPr>
        <w:tabs>
          <w:tab w:val="left" w:pos="720"/>
        </w:tabs>
        <w:spacing w:line="240" w:lineRule="auto"/>
        <w:jc w:val="both"/>
        <w:rPr>
          <w:rFonts w:ascii="Times New Roman" w:hAnsi="Times New Roman"/>
          <w:sz w:val="24"/>
          <w:szCs w:val="24"/>
        </w:rPr>
      </w:pPr>
    </w:p>
    <w:p>
      <w:pPr>
        <w:tabs>
          <w:tab w:val="left" w:pos="720"/>
        </w:tabs>
        <w:spacing w:line="240" w:lineRule="auto"/>
        <w:jc w:val="both"/>
        <w:rPr>
          <w:rFonts w:ascii="Times New Roman" w:hAnsi="Times New Roman"/>
          <w:sz w:val="24"/>
          <w:szCs w:val="24"/>
        </w:rPr>
      </w:pPr>
    </w:p>
    <w:p>
      <w:pPr>
        <w:tabs>
          <w:tab w:val="left" w:pos="720"/>
        </w:tabs>
        <w:spacing w:line="240" w:lineRule="auto"/>
        <w:jc w:val="both"/>
        <w:rPr>
          <w:rFonts w:ascii="Times New Roman" w:hAnsi="Times New Roman"/>
          <w:sz w:val="24"/>
          <w:szCs w:val="24"/>
        </w:rPr>
      </w:pPr>
    </w:p>
    <w:p>
      <w:pPr>
        <w:tabs>
          <w:tab w:val="left" w:pos="720"/>
        </w:tabs>
        <w:spacing w:line="240" w:lineRule="auto"/>
        <w:jc w:val="both"/>
        <w:rPr>
          <w:rFonts w:ascii="Times New Roman" w:hAnsi="Times New Roman"/>
          <w:sz w:val="24"/>
          <w:szCs w:val="24"/>
        </w:rPr>
      </w:pPr>
    </w:p>
    <w:p>
      <w:pPr>
        <w:tabs>
          <w:tab w:val="left" w:pos="1945"/>
        </w:tabs>
        <w:rPr>
          <w:rFonts w:ascii="Times New Roman" w:hAnsi="Times New Roman"/>
          <w:sz w:val="24"/>
          <w:szCs w:val="24"/>
        </w:rPr>
      </w:pPr>
      <w:r>
        <w:drawing>
          <wp:inline distT="0" distB="0" distL="0" distR="0">
            <wp:extent cx="5817870" cy="8229600"/>
            <wp:effectExtent l="0" t="0" r="0" b="0"/>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817870" cy="8229600"/>
                    </a:xfrm>
                    <a:prstGeom prst="rect">
                      <a:avLst/>
                    </a:prstGeom>
                    <a:noFill/>
                    <a:ln>
                      <a:noFill/>
                    </a:ln>
                  </pic:spPr>
                </pic:pic>
              </a:graphicData>
            </a:graphic>
          </wp:inline>
        </w:drawing>
      </w:r>
    </w:p>
    <w:p>
      <w:pPr>
        <w:tabs>
          <w:tab w:val="left" w:pos="720"/>
        </w:tabs>
        <w:spacing w:line="240" w:lineRule="auto"/>
        <w:jc w:val="both"/>
        <w:rPr>
          <w:rFonts w:ascii="Times New Roman" w:hAnsi="Times New Roman"/>
          <w:sz w:val="24"/>
          <w:szCs w:val="24"/>
        </w:rPr>
      </w:pPr>
      <w:r>
        <w:rPr>
          <w:lang w:val="en-GB" w:eastAsia="en-GB"/>
        </w:rPr>
        <w:drawing>
          <wp:inline distT="0" distB="0" distL="0" distR="0">
            <wp:extent cx="6400800" cy="77323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400800" cy="7732395"/>
                    </a:xfrm>
                    <a:prstGeom prst="rect">
                      <a:avLst/>
                    </a:prstGeom>
                    <a:noFill/>
                    <a:ln>
                      <a:noFill/>
                    </a:ln>
                  </pic:spPr>
                </pic:pic>
              </a:graphicData>
            </a:graphic>
          </wp:inline>
        </w:drawing>
      </w:r>
    </w:p>
    <w:p>
      <w:pPr>
        <w:tabs>
          <w:tab w:val="left" w:pos="1530"/>
        </w:tabs>
        <w:jc w:val="both"/>
        <w:outlineLvl w:val="0"/>
        <w:rPr>
          <w:rFonts w:ascii="Arial" w:hAnsi="Arial" w:cs="Arial"/>
          <w:b/>
          <w:sz w:val="24"/>
          <w:szCs w:val="24"/>
        </w:rPr>
      </w:pPr>
    </w:p>
    <w:p>
      <w:pPr>
        <w:tabs>
          <w:tab w:val="left" w:pos="1530"/>
        </w:tabs>
        <w:jc w:val="both"/>
        <w:outlineLvl w:val="0"/>
        <w:rPr>
          <w:rFonts w:ascii="Arial" w:hAnsi="Arial" w:cs="Arial"/>
          <w:b/>
          <w:sz w:val="24"/>
          <w:szCs w:val="24"/>
        </w:rPr>
      </w:pPr>
      <w:r>
        <w:rPr>
          <w:rFonts w:ascii="Arial" w:hAnsi="Arial" w:cs="Arial"/>
          <w:b/>
          <w:sz w:val="24"/>
          <w:szCs w:val="24"/>
        </w:rPr>
        <w:t>Credits</w:t>
      </w:r>
    </w:p>
    <w:p>
      <w:pPr>
        <w:pStyle w:val="26"/>
        <w:numPr>
          <w:ilvl w:val="0"/>
          <w:numId w:val="7"/>
        </w:numPr>
        <w:tabs>
          <w:tab w:val="left" w:pos="1530"/>
        </w:tabs>
        <w:jc w:val="both"/>
        <w:outlineLvl w:val="0"/>
        <w:rPr>
          <w:rFonts w:ascii="Arial" w:hAnsi="Arial" w:cs="Arial"/>
          <w:i/>
          <w:sz w:val="24"/>
          <w:szCs w:val="24"/>
        </w:rPr>
      </w:pPr>
      <w:r>
        <w:rPr>
          <w:rFonts w:ascii="Arial" w:hAnsi="Arial" w:cs="Arial"/>
          <w:sz w:val="24"/>
          <w:szCs w:val="24"/>
        </w:rPr>
        <w:t>We would like to thank Dermnet NZ who have granted us permission to reproduce the pictures used in</w:t>
      </w:r>
      <w:r>
        <w:rPr>
          <w:rFonts w:ascii="Arial" w:hAnsi="Arial" w:cs="Arial"/>
          <w:i/>
          <w:sz w:val="24"/>
          <w:szCs w:val="24"/>
        </w:rPr>
        <w:t xml:space="preserve"> Table 2 </w:t>
      </w:r>
      <w:r>
        <w:rPr>
          <w:rFonts w:ascii="Arial" w:hAnsi="Arial" w:cs="Arial"/>
          <w:sz w:val="24"/>
          <w:szCs w:val="24"/>
        </w:rPr>
        <w:t>for which they obtained signed</w:t>
      </w:r>
      <w:r>
        <w:rPr>
          <w:rFonts w:ascii="Arial" w:hAnsi="Arial" w:cs="Arial"/>
          <w:i/>
          <w:sz w:val="24"/>
          <w:szCs w:val="24"/>
        </w:rPr>
        <w:t>.</w:t>
      </w:r>
    </w:p>
    <w:p>
      <w:pPr>
        <w:pStyle w:val="26"/>
        <w:tabs>
          <w:tab w:val="left" w:pos="1530"/>
        </w:tabs>
        <w:jc w:val="both"/>
        <w:outlineLvl w:val="0"/>
        <w:rPr>
          <w:rFonts w:ascii="Arial" w:hAnsi="Arial" w:cs="Arial"/>
          <w:i/>
          <w:sz w:val="24"/>
          <w:szCs w:val="24"/>
        </w:rPr>
      </w:pPr>
    </w:p>
    <w:p>
      <w:pPr>
        <w:pStyle w:val="26"/>
        <w:numPr>
          <w:ilvl w:val="0"/>
          <w:numId w:val="7"/>
        </w:numPr>
        <w:spacing w:after="0" w:line="240" w:lineRule="auto"/>
        <w:rPr>
          <w:rFonts w:ascii="Arial" w:hAnsi="Arial" w:cs="Arial"/>
          <w:i/>
          <w:sz w:val="24"/>
          <w:szCs w:val="24"/>
        </w:rPr>
      </w:pPr>
      <w:r>
        <w:rPr>
          <w:rFonts w:ascii="Arial" w:hAnsi="Arial" w:eastAsia="Times New Roman" w:cs="Arial"/>
          <w:color w:val="222222"/>
          <w:sz w:val="24"/>
          <w:szCs w:val="24"/>
          <w:shd w:val="clear" w:color="auto" w:fill="FFFFFF"/>
          <w:lang w:val="en-GB"/>
        </w:rPr>
        <w:t>Our thanks to the Northwest Regional Genetics Service, who initially produced a downloadable diagram on annual review, facilitating the development of our service and this paper - http://www.mangen.co.uk/CubeCore/.uploads/Clinical%20Documents/Useful%20Documents/nf1_checklist.pdf</w:t>
      </w:r>
    </w:p>
    <w:p>
      <w:pPr>
        <w:spacing w:after="0" w:line="240" w:lineRule="auto"/>
        <w:jc w:val="both"/>
        <w:rPr>
          <w:rFonts w:ascii="Arial" w:hAnsi="Arial" w:cs="Arial"/>
          <w:i/>
          <w:sz w:val="24"/>
          <w:szCs w:val="24"/>
        </w:rPr>
      </w:pPr>
    </w:p>
    <w:p>
      <w:pPr>
        <w:pStyle w:val="26"/>
        <w:numPr>
          <w:ilvl w:val="0"/>
          <w:numId w:val="7"/>
        </w:numPr>
        <w:spacing w:after="0" w:line="240" w:lineRule="auto"/>
        <w:jc w:val="both"/>
        <w:rPr>
          <w:rFonts w:ascii="Arial" w:hAnsi="Arial" w:eastAsia="Times New Roman" w:cs="Arial"/>
          <w:sz w:val="24"/>
          <w:szCs w:val="24"/>
          <w:shd w:val="clear" w:color="auto" w:fill="FFFFFF"/>
          <w:lang w:val="en-GB"/>
        </w:rPr>
      </w:pPr>
      <w:r>
        <w:rPr>
          <w:rFonts w:ascii="Arial" w:hAnsi="Arial" w:eastAsia="Times New Roman" w:cs="Arial"/>
          <w:sz w:val="24"/>
          <w:szCs w:val="24"/>
          <w:shd w:val="clear" w:color="auto" w:fill="FFFFFF"/>
          <w:lang w:val="en-GB"/>
        </w:rPr>
        <w:t>We would like to thank Dr. Legius and his colleagues for releasing new NF1 criteria and developing criteria for disorders that overlap.</w:t>
      </w:r>
    </w:p>
    <w:p>
      <w:pPr>
        <w:pStyle w:val="26"/>
        <w:rPr>
          <w:rFonts w:ascii="Arial" w:hAnsi="Arial" w:eastAsia="Times New Roman" w:cs="Arial"/>
          <w:sz w:val="24"/>
          <w:szCs w:val="24"/>
          <w:shd w:val="clear" w:color="auto" w:fill="FFFFFF"/>
          <w:lang w:val="en-GB"/>
        </w:rPr>
      </w:pPr>
    </w:p>
    <w:p>
      <w:pPr>
        <w:pStyle w:val="26"/>
        <w:spacing w:after="0" w:line="240" w:lineRule="auto"/>
        <w:jc w:val="both"/>
        <w:rPr>
          <w:rFonts w:ascii="Arial" w:hAnsi="Arial" w:eastAsia="Times New Roman" w:cs="Arial"/>
          <w:sz w:val="24"/>
          <w:szCs w:val="24"/>
          <w:shd w:val="clear" w:color="auto" w:fill="FFFFFF"/>
          <w:lang w:val="en-GB"/>
        </w:rPr>
      </w:pPr>
    </w:p>
    <w:p>
      <w:pPr>
        <w:pStyle w:val="26"/>
        <w:numPr>
          <w:ilvl w:val="0"/>
          <w:numId w:val="7"/>
        </w:numPr>
        <w:spacing w:after="0" w:line="240" w:lineRule="auto"/>
        <w:jc w:val="both"/>
        <w:rPr>
          <w:rFonts w:ascii="Arial" w:hAnsi="Arial" w:eastAsia="Times New Roman" w:cs="Arial"/>
          <w:sz w:val="24"/>
          <w:szCs w:val="24"/>
          <w:shd w:val="clear" w:color="auto" w:fill="FFFFFF"/>
          <w:lang w:val="en-GB"/>
        </w:rPr>
      </w:pPr>
      <w:r>
        <w:rPr>
          <w:rFonts w:ascii="Arial" w:hAnsi="Arial" w:eastAsia="Times New Roman" w:cs="Arial"/>
          <w:sz w:val="24"/>
          <w:szCs w:val="24"/>
          <w:shd w:val="clear" w:color="auto" w:fill="FFFFFF"/>
          <w:lang w:val="en-GB"/>
        </w:rPr>
        <w:t>We appreciate Dr. BM Dunning-Davies for his work with Dr. Parker on their article (Annual Review of Children with Neurofibromatosis Type 1), which acted as the foundation for this guideline.</w:t>
      </w:r>
    </w:p>
    <w:p>
      <w:pPr>
        <w:spacing w:after="0" w:line="240" w:lineRule="auto"/>
        <w:rPr>
          <w:rFonts w:ascii="Arial" w:hAnsi="Arial" w:eastAsia="Times New Roman" w:cs="Arial"/>
          <w:color w:val="222222"/>
          <w:sz w:val="24"/>
          <w:szCs w:val="24"/>
          <w:shd w:val="clear" w:color="auto" w:fill="FFFFFF"/>
          <w:lang w:val="en-GB"/>
        </w:rPr>
      </w:pPr>
    </w:p>
    <w:p>
      <w:pPr>
        <w:pStyle w:val="21"/>
        <w:tabs>
          <w:tab w:val="left" w:pos="1530"/>
        </w:tabs>
        <w:ind w:left="0"/>
        <w:jc w:val="both"/>
        <w:rPr>
          <w:rFonts w:ascii="Arial" w:hAnsi="Arial" w:cs="Arial"/>
          <w:b/>
          <w:sz w:val="24"/>
          <w:szCs w:val="24"/>
        </w:rPr>
      </w:pPr>
    </w:p>
    <w:p>
      <w:pPr>
        <w:pStyle w:val="21"/>
        <w:tabs>
          <w:tab w:val="left" w:pos="1530"/>
        </w:tabs>
        <w:ind w:left="0"/>
        <w:jc w:val="both"/>
        <w:rPr>
          <w:rFonts w:ascii="Arial" w:hAnsi="Arial" w:cs="Arial"/>
          <w:b/>
          <w:sz w:val="24"/>
          <w:szCs w:val="24"/>
        </w:rPr>
      </w:pPr>
      <w:r>
        <w:rPr>
          <w:rFonts w:ascii="Arial" w:hAnsi="Arial" w:cs="Arial"/>
          <w:b/>
          <w:sz w:val="24"/>
          <w:szCs w:val="24"/>
        </w:rPr>
        <w:t>Competing Interests</w:t>
      </w:r>
    </w:p>
    <w:p>
      <w:pPr>
        <w:pStyle w:val="21"/>
        <w:tabs>
          <w:tab w:val="left" w:pos="1530"/>
        </w:tabs>
        <w:ind w:left="0"/>
        <w:jc w:val="both"/>
        <w:rPr>
          <w:rFonts w:ascii="Arial" w:hAnsi="Arial" w:cs="Arial"/>
          <w:b/>
          <w:sz w:val="24"/>
          <w:szCs w:val="24"/>
        </w:rPr>
      </w:pPr>
      <w:r>
        <w:rPr>
          <w:rFonts w:ascii="Arial" w:hAnsi="Arial" w:cs="Arial"/>
          <w:sz w:val="24"/>
          <w:szCs w:val="24"/>
        </w:rPr>
        <w:t xml:space="preserve">None Declared. </w:t>
      </w:r>
    </w:p>
    <w:p>
      <w:pPr>
        <w:pStyle w:val="21"/>
        <w:tabs>
          <w:tab w:val="left" w:pos="1530"/>
        </w:tabs>
        <w:ind w:left="360"/>
        <w:jc w:val="both"/>
        <w:rPr>
          <w:rFonts w:ascii="Arial" w:hAnsi="Arial" w:cs="Arial"/>
          <w:b/>
          <w:sz w:val="24"/>
          <w:szCs w:val="24"/>
        </w:rPr>
      </w:pPr>
    </w:p>
    <w:p>
      <w:pPr>
        <w:pStyle w:val="21"/>
        <w:tabs>
          <w:tab w:val="left" w:pos="1530"/>
        </w:tabs>
        <w:ind w:left="0"/>
        <w:jc w:val="both"/>
        <w:rPr>
          <w:rFonts w:ascii="Arial" w:hAnsi="Arial" w:cs="Arial"/>
          <w:sz w:val="24"/>
          <w:szCs w:val="24"/>
        </w:rPr>
      </w:pPr>
    </w:p>
    <w:p>
      <w:pPr>
        <w:pStyle w:val="21"/>
        <w:tabs>
          <w:tab w:val="left" w:pos="1530"/>
        </w:tabs>
        <w:ind w:left="0"/>
        <w:jc w:val="both"/>
        <w:rPr>
          <w:rFonts w:ascii="Arial" w:hAnsi="Arial" w:cs="Arial"/>
          <w:sz w:val="24"/>
          <w:szCs w:val="24"/>
        </w:rPr>
      </w:pPr>
    </w:p>
    <w:p>
      <w:pPr>
        <w:tabs>
          <w:tab w:val="left" w:pos="1530"/>
        </w:tabs>
        <w:jc w:val="both"/>
        <w:rPr>
          <w:rFonts w:ascii="Arial" w:hAnsi="Arial" w:cs="Arial"/>
          <w:b/>
          <w:sz w:val="24"/>
          <w:szCs w:val="24"/>
        </w:rPr>
      </w:pPr>
    </w:p>
    <w:p>
      <w:pPr>
        <w:tabs>
          <w:tab w:val="left" w:pos="1530"/>
        </w:tabs>
        <w:jc w:val="both"/>
        <w:rPr>
          <w:rFonts w:ascii="Arial" w:hAnsi="Arial" w:cs="Arial"/>
          <w:b/>
          <w:sz w:val="24"/>
          <w:szCs w:val="24"/>
        </w:rPr>
      </w:pPr>
    </w:p>
    <w:p>
      <w:pPr>
        <w:tabs>
          <w:tab w:val="left" w:pos="1530"/>
        </w:tabs>
        <w:jc w:val="both"/>
        <w:rPr>
          <w:rFonts w:ascii="Arial" w:hAnsi="Arial" w:cs="Arial"/>
          <w:b/>
          <w:sz w:val="24"/>
          <w:szCs w:val="24"/>
        </w:rPr>
      </w:pPr>
    </w:p>
    <w:p>
      <w:pPr>
        <w:tabs>
          <w:tab w:val="left" w:pos="1530"/>
        </w:tabs>
        <w:jc w:val="both"/>
        <w:rPr>
          <w:rFonts w:ascii="Arial" w:hAnsi="Arial" w:cs="Arial"/>
          <w:b/>
          <w:sz w:val="24"/>
          <w:szCs w:val="24"/>
        </w:rPr>
      </w:pPr>
    </w:p>
    <w:p>
      <w:pPr>
        <w:tabs>
          <w:tab w:val="left" w:pos="1530"/>
        </w:tabs>
        <w:jc w:val="both"/>
        <w:rPr>
          <w:rFonts w:ascii="Arial" w:hAnsi="Arial" w:cs="Arial"/>
          <w:b/>
          <w:sz w:val="24"/>
          <w:szCs w:val="24"/>
        </w:rPr>
      </w:pPr>
    </w:p>
    <w:p>
      <w:pPr>
        <w:tabs>
          <w:tab w:val="left" w:pos="1530"/>
        </w:tabs>
        <w:jc w:val="both"/>
        <w:rPr>
          <w:rFonts w:ascii="Arial" w:hAnsi="Arial" w:cs="Arial"/>
          <w:b/>
          <w:sz w:val="24"/>
          <w:szCs w:val="24"/>
        </w:rPr>
      </w:pPr>
    </w:p>
    <w:p>
      <w:pPr>
        <w:tabs>
          <w:tab w:val="left" w:pos="1530"/>
        </w:tabs>
        <w:jc w:val="both"/>
        <w:rPr>
          <w:rFonts w:ascii="Arial" w:hAnsi="Arial" w:cs="Arial"/>
          <w:b/>
          <w:sz w:val="24"/>
          <w:szCs w:val="24"/>
        </w:rPr>
      </w:pPr>
    </w:p>
    <w:p>
      <w:pPr>
        <w:tabs>
          <w:tab w:val="left" w:pos="1530"/>
        </w:tabs>
        <w:jc w:val="both"/>
        <w:rPr>
          <w:rFonts w:ascii="Arial" w:hAnsi="Arial" w:cs="Arial"/>
          <w:b/>
          <w:sz w:val="24"/>
          <w:szCs w:val="24"/>
        </w:rPr>
      </w:pPr>
    </w:p>
    <w:p>
      <w:pPr>
        <w:tabs>
          <w:tab w:val="left" w:pos="1530"/>
        </w:tabs>
        <w:jc w:val="both"/>
        <w:rPr>
          <w:rFonts w:ascii="Arial" w:hAnsi="Arial" w:cs="Arial"/>
          <w:b/>
          <w:sz w:val="24"/>
          <w:szCs w:val="24"/>
        </w:rPr>
      </w:pPr>
      <w:r>
        <w:rPr>
          <w:rFonts w:ascii="Arial" w:hAnsi="Arial" w:cs="Arial"/>
          <w:b/>
          <w:sz w:val="24"/>
          <w:szCs w:val="24"/>
        </w:rPr>
        <w:t>References</w:t>
      </w:r>
    </w:p>
    <w:p>
      <w:pPr>
        <w:pStyle w:val="26"/>
        <w:numPr>
          <w:ilvl w:val="0"/>
          <w:numId w:val="8"/>
        </w:numPr>
        <w:spacing w:line="240" w:lineRule="auto"/>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Margaret R. Wallace. Neurofibromatosis: Phenotype, Natural History, and Pathogenesis, Am J Hum Genet. 2000 Jul;67(1):264. </w:t>
      </w:r>
    </w:p>
    <w:p>
      <w:pPr>
        <w:pStyle w:val="26"/>
        <w:numPr>
          <w:ilvl w:val="0"/>
          <w:numId w:val="8"/>
        </w:numPr>
        <w:spacing w:line="240" w:lineRule="auto"/>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Evans DG. Neurofibromatosis type 2 (NF2): A clinical and molecular review. </w:t>
      </w:r>
      <w:r>
        <w:rPr>
          <w:color w:val="212121"/>
          <w:sz w:val="24"/>
          <w:szCs w:val="24"/>
          <w:shd w:val="clear" w:color="auto" w:fill="FFFFFF"/>
        </w:rPr>
        <w:t>Orphanet J Rare Dis. 2009; 4: 16</w:t>
      </w:r>
    </w:p>
    <w:p>
      <w:pPr>
        <w:pStyle w:val="26"/>
        <w:numPr>
          <w:ilvl w:val="0"/>
          <w:numId w:val="8"/>
        </w:numPr>
        <w:spacing w:line="240" w:lineRule="auto"/>
        <w:rPr>
          <w:rFonts w:ascii="Arial" w:hAnsi="Arial" w:cs="Arial"/>
          <w:color w:val="212121"/>
          <w:sz w:val="24"/>
          <w:szCs w:val="24"/>
          <w:shd w:val="clear" w:color="auto" w:fill="FFFFFF"/>
        </w:rPr>
      </w:pPr>
      <w:r>
        <w:rPr>
          <w:rFonts w:ascii="Arial" w:hAnsi="Arial" w:cs="Arial"/>
          <w:color w:val="212121"/>
          <w:sz w:val="24"/>
          <w:szCs w:val="24"/>
          <w:shd w:val="clear" w:color="auto" w:fill="FFFFFF"/>
        </w:rPr>
        <w:t>Basu TN, Gutmann DH, Fletcher JA, Glover TW, Collins FS, Downward J. Aberrant regulation of ras proteins in malignant tumour cells from type 1 neurofibromatosis patients. Nature. 1992 Apr 23;356(6371):713-5.</w:t>
      </w:r>
    </w:p>
    <w:p>
      <w:pPr>
        <w:spacing w:line="240" w:lineRule="auto"/>
        <w:rPr>
          <w:color w:val="212121"/>
          <w:sz w:val="24"/>
          <w:szCs w:val="24"/>
          <w:shd w:val="clear" w:color="auto" w:fill="FFFFFF"/>
        </w:rPr>
      </w:pPr>
    </w:p>
    <w:p>
      <w:pPr>
        <w:pStyle w:val="26"/>
        <w:numPr>
          <w:ilvl w:val="0"/>
          <w:numId w:val="8"/>
        </w:numPr>
        <w:spacing w:line="240" w:lineRule="auto"/>
        <w:rPr>
          <w:rFonts w:ascii="Arial" w:hAnsi="Arial" w:cs="Arial"/>
          <w:color w:val="212121"/>
          <w:sz w:val="24"/>
          <w:szCs w:val="24"/>
          <w:shd w:val="clear" w:color="auto" w:fill="FFFFFF"/>
        </w:rPr>
      </w:pPr>
      <w:r>
        <w:fldChar w:fldCharType="begin"/>
      </w:r>
      <w:r>
        <w:instrText xml:space="preserve"> HYPERLINK "http://www.ncbi.nlm.nih.gov/pubmed?term=Ruggieri%20M%5BAuthor%5D&amp;cauthor=true&amp;cauthor_uid=11409413" </w:instrText>
      </w:r>
      <w:r>
        <w:fldChar w:fldCharType="separate"/>
      </w:r>
      <w:r>
        <w:rPr>
          <w:color w:val="212121"/>
          <w:sz w:val="24"/>
          <w:szCs w:val="24"/>
          <w:shd w:val="clear" w:color="auto" w:fill="FFFFFF"/>
        </w:rPr>
        <w:t>Ruggieri M</w:t>
      </w:r>
      <w:r>
        <w:rPr>
          <w:color w:val="212121"/>
          <w:sz w:val="24"/>
          <w:szCs w:val="24"/>
          <w:shd w:val="clear" w:color="auto" w:fill="FFFFFF"/>
        </w:rPr>
        <w:fldChar w:fldCharType="end"/>
      </w:r>
      <w:r>
        <w:rPr>
          <w:rFonts w:ascii="Arial" w:hAnsi="Arial" w:cs="Arial"/>
          <w:color w:val="212121"/>
          <w:sz w:val="24"/>
          <w:szCs w:val="24"/>
          <w:shd w:val="clear" w:color="auto" w:fill="FFFFFF"/>
        </w:rPr>
        <w:t xml:space="preserve">, </w:t>
      </w:r>
      <w:r>
        <w:fldChar w:fldCharType="begin"/>
      </w:r>
      <w:r>
        <w:instrText xml:space="preserve"> HYPERLINK "http://www.ncbi.nlm.nih.gov/pubmed?term=Huson%20SM%5BAuthor%5D&amp;cauthor=true&amp;cauthor_uid=11409413" </w:instrText>
      </w:r>
      <w:r>
        <w:fldChar w:fldCharType="separate"/>
      </w:r>
      <w:r>
        <w:rPr>
          <w:color w:val="212121"/>
          <w:sz w:val="24"/>
          <w:szCs w:val="24"/>
          <w:shd w:val="clear" w:color="auto" w:fill="FFFFFF"/>
        </w:rPr>
        <w:t>Huson SM</w:t>
      </w:r>
      <w:r>
        <w:rPr>
          <w:color w:val="212121"/>
          <w:sz w:val="24"/>
          <w:szCs w:val="24"/>
          <w:shd w:val="clear" w:color="auto" w:fill="FFFFFF"/>
        </w:rPr>
        <w:fldChar w:fldCharType="end"/>
      </w:r>
      <w:r>
        <w:rPr>
          <w:rFonts w:ascii="Arial" w:hAnsi="Arial" w:cs="Arial"/>
          <w:color w:val="212121"/>
          <w:sz w:val="24"/>
          <w:szCs w:val="24"/>
          <w:shd w:val="clear" w:color="auto" w:fill="FFFFFF"/>
        </w:rPr>
        <w:t xml:space="preserve">. The clinical and diagnostic implications of mosaicism in the neurofibromatoses. </w:t>
      </w:r>
      <w:r>
        <w:fldChar w:fldCharType="begin"/>
      </w:r>
      <w:r>
        <w:instrText xml:space="preserve"> HYPERLINK "http://www.ncbi.nlm.nih.gov/pubmed/11409413" \o "Neurology." </w:instrText>
      </w:r>
      <w:r>
        <w:fldChar w:fldCharType="separate"/>
      </w:r>
      <w:r>
        <w:rPr>
          <w:color w:val="212121"/>
          <w:sz w:val="24"/>
          <w:szCs w:val="24"/>
          <w:shd w:val="clear" w:color="auto" w:fill="FFFFFF"/>
        </w:rPr>
        <w:t>Neurology.</w:t>
      </w:r>
      <w:r>
        <w:rPr>
          <w:color w:val="212121"/>
          <w:sz w:val="24"/>
          <w:szCs w:val="24"/>
          <w:shd w:val="clear" w:color="auto" w:fill="FFFFFF"/>
        </w:rPr>
        <w:fldChar w:fldCharType="end"/>
      </w:r>
      <w:r>
        <w:rPr>
          <w:rFonts w:ascii="Arial" w:hAnsi="Arial" w:cs="Arial"/>
          <w:color w:val="212121"/>
          <w:sz w:val="24"/>
          <w:szCs w:val="24"/>
          <w:shd w:val="clear" w:color="auto" w:fill="FFFFFF"/>
        </w:rPr>
        <w:t xml:space="preserve"> 2001; 56(11):1433-43.    </w:t>
      </w:r>
    </w:p>
    <w:p>
      <w:pPr>
        <w:pStyle w:val="26"/>
        <w:numPr>
          <w:ilvl w:val="0"/>
          <w:numId w:val="8"/>
        </w:numPr>
        <w:spacing w:line="240" w:lineRule="auto"/>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NIH; National Institutes of Health Consensus Development Conference Statement: neurofibromatosis. Bethesda, Md, USA, July 13-15, 1987. </w:t>
      </w:r>
      <w:r>
        <w:rPr>
          <w:color w:val="212121"/>
          <w:sz w:val="24"/>
          <w:szCs w:val="24"/>
          <w:shd w:val="clear" w:color="auto" w:fill="FFFFFF"/>
        </w:rPr>
        <w:t xml:space="preserve">Neurofibromatosis. </w:t>
      </w:r>
      <w:r>
        <w:rPr>
          <w:rFonts w:ascii="Arial" w:hAnsi="Arial" w:cs="Arial"/>
          <w:color w:val="212121"/>
          <w:sz w:val="24"/>
          <w:szCs w:val="24"/>
          <w:shd w:val="clear" w:color="auto" w:fill="FFFFFF"/>
        </w:rPr>
        <w:t>1988;</w:t>
      </w:r>
      <w:r>
        <w:rPr>
          <w:color w:val="212121"/>
          <w:sz w:val="24"/>
          <w:szCs w:val="24"/>
          <w:shd w:val="clear" w:color="auto" w:fill="FFFFFF"/>
        </w:rPr>
        <w:t>1</w:t>
      </w:r>
      <w:r>
        <w:rPr>
          <w:rFonts w:ascii="Arial" w:hAnsi="Arial" w:cs="Arial"/>
          <w:color w:val="212121"/>
          <w:sz w:val="24"/>
          <w:szCs w:val="24"/>
          <w:shd w:val="clear" w:color="auto" w:fill="FFFFFF"/>
        </w:rPr>
        <w:t>:172–</w:t>
      </w:r>
    </w:p>
    <w:p>
      <w:pPr>
        <w:pStyle w:val="26"/>
        <w:numPr>
          <w:ilvl w:val="0"/>
          <w:numId w:val="8"/>
        </w:numPr>
        <w:spacing w:line="240" w:lineRule="auto"/>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Legius E et al. Revised diagnostic criteria for neurofibromatosis type 1 and Legius syndrome: an international consensus recommendation. Genet Med. 2021 Aug;23(8):1506-1513. </w:t>
      </w:r>
    </w:p>
    <w:p>
      <w:pPr>
        <w:spacing w:line="240" w:lineRule="auto"/>
        <w:ind w:left="360"/>
        <w:rPr>
          <w:rFonts w:ascii="Arial" w:hAnsi="Arial" w:cs="Arial"/>
          <w:color w:val="212121"/>
          <w:sz w:val="24"/>
          <w:szCs w:val="24"/>
          <w:shd w:val="clear" w:color="auto" w:fill="FFFFFF"/>
        </w:rPr>
      </w:pPr>
    </w:p>
    <w:p>
      <w:pPr>
        <w:pStyle w:val="26"/>
        <w:numPr>
          <w:ilvl w:val="0"/>
          <w:numId w:val="8"/>
        </w:numPr>
        <w:spacing w:line="240" w:lineRule="auto"/>
        <w:rPr>
          <w:rFonts w:ascii="Arial" w:hAnsi="Arial" w:cs="Arial"/>
          <w:color w:val="212121"/>
          <w:sz w:val="24"/>
          <w:szCs w:val="24"/>
          <w:shd w:val="clear" w:color="auto" w:fill="FFFFFF"/>
        </w:rPr>
      </w:pPr>
      <w:r>
        <w:rPr>
          <w:rFonts w:ascii="Arial" w:hAnsi="Arial" w:cs="Arial"/>
          <w:color w:val="212121"/>
          <w:sz w:val="24"/>
          <w:szCs w:val="24"/>
          <w:shd w:val="clear" w:color="auto" w:fill="FFFFFF"/>
        </w:rPr>
        <w:t>Kehrer-Sawatzki H, Cooper DN. Challenges in the diagnosis of neurofibromatosis type 1 (NF1) in young children facilitated by means of revised diagnostic criteria including genetic testing for pathogenic NF1 gene variants. Hum Genet. 2022 Feb;141(2):177-191</w:t>
      </w:r>
    </w:p>
    <w:p>
      <w:pPr>
        <w:pStyle w:val="26"/>
        <w:numPr>
          <w:ilvl w:val="0"/>
          <w:numId w:val="8"/>
        </w:numPr>
        <w:spacing w:line="240" w:lineRule="auto"/>
        <w:rPr>
          <w:rFonts w:ascii="Arial" w:hAnsi="Arial" w:cs="Arial"/>
          <w:color w:val="212121"/>
          <w:sz w:val="24"/>
          <w:szCs w:val="24"/>
          <w:shd w:val="clear" w:color="auto" w:fill="FFFFFF"/>
        </w:rPr>
      </w:pPr>
      <w:r>
        <w:rPr>
          <w:rFonts w:ascii="Arial" w:hAnsi="Arial" w:cs="Arial"/>
          <w:color w:val="212121"/>
          <w:sz w:val="24"/>
          <w:szCs w:val="24"/>
          <w:shd w:val="clear" w:color="auto" w:fill="FFFFFF"/>
        </w:rPr>
        <w:t>Chen JL, Miller DT, Schmidt LS, Malkin D, Korf BR, Eng C, Kwiatkowski DJ, Giannikou K. Mosaicism in Tumor Suppressor Gene Syndromes: Prevalence, Diagnostic Strategies, and Transmission Risk. Annu Rev Genomics Hum Genet. 2022 Aug 31;23:331-361.</w:t>
      </w:r>
    </w:p>
    <w:p>
      <w:pPr>
        <w:pStyle w:val="26"/>
        <w:numPr>
          <w:ilvl w:val="0"/>
          <w:numId w:val="8"/>
        </w:numPr>
        <w:spacing w:line="240" w:lineRule="auto"/>
        <w:rPr>
          <w:rFonts w:ascii="Arial" w:hAnsi="Arial" w:cs="Arial"/>
          <w:color w:val="212121"/>
          <w:sz w:val="24"/>
          <w:szCs w:val="24"/>
          <w:shd w:val="clear" w:color="auto" w:fill="FFFFFF"/>
        </w:rPr>
      </w:pPr>
      <w:r>
        <w:rPr>
          <w:rFonts w:ascii="Arial" w:hAnsi="Arial" w:cs="Arial"/>
          <w:color w:val="212121"/>
          <w:sz w:val="24"/>
          <w:szCs w:val="24"/>
          <w:shd w:val="clear" w:color="auto" w:fill="FFFFFF"/>
        </w:rPr>
        <w:t>Listernick R, Louis DN, Packer RJ, Gutmann DH. Optic pathway gliomas in children with neurofibromatosis 1: consensus statement from the NF1 Optic Pathway Glioma Task Force. Ann Neurol. 1997 Feb;41(2):143-9.</w:t>
      </w:r>
    </w:p>
    <w:p>
      <w:pPr>
        <w:spacing w:line="240" w:lineRule="auto"/>
        <w:ind w:left="360"/>
        <w:rPr>
          <w:rFonts w:ascii="Arial" w:hAnsi="Arial" w:cs="Arial"/>
          <w:color w:val="212121"/>
          <w:sz w:val="24"/>
          <w:szCs w:val="24"/>
          <w:shd w:val="clear" w:color="auto" w:fill="FFFFFF"/>
        </w:rPr>
      </w:pPr>
    </w:p>
    <w:p>
      <w:pPr>
        <w:pStyle w:val="26"/>
        <w:numPr>
          <w:ilvl w:val="0"/>
          <w:numId w:val="8"/>
        </w:numPr>
        <w:spacing w:line="240" w:lineRule="auto"/>
        <w:rPr>
          <w:rFonts w:ascii="Arial" w:hAnsi="Arial" w:cs="Arial"/>
          <w:color w:val="212121"/>
          <w:sz w:val="24"/>
          <w:szCs w:val="24"/>
          <w:shd w:val="clear" w:color="auto" w:fill="FFFFFF"/>
        </w:rPr>
      </w:pPr>
      <w:r>
        <w:rPr>
          <w:rFonts w:ascii="Arial" w:hAnsi="Arial" w:cs="Arial"/>
          <w:color w:val="212121"/>
          <w:sz w:val="24"/>
          <w:szCs w:val="24"/>
          <w:shd w:val="clear" w:color="auto" w:fill="FFFFFF"/>
        </w:rPr>
        <w:t>Listernick R, Ferner RE, Liu GT, Gutmann DH. Optic pathway gliomas in neurofibromatosis-1: controversies and recommendations. Ann Neurol. 2007 Mar;61(3):189-98.</w:t>
      </w:r>
    </w:p>
    <w:p>
      <w:pPr>
        <w:spacing w:line="240" w:lineRule="auto"/>
        <w:ind w:left="360"/>
        <w:rPr>
          <w:rFonts w:ascii="Arial" w:hAnsi="Arial" w:cs="Arial"/>
          <w:color w:val="212121"/>
          <w:sz w:val="24"/>
          <w:szCs w:val="24"/>
          <w:shd w:val="clear" w:color="auto" w:fill="FFFFFF"/>
        </w:rPr>
      </w:pPr>
    </w:p>
    <w:p>
      <w:pPr>
        <w:pStyle w:val="26"/>
        <w:numPr>
          <w:ilvl w:val="0"/>
          <w:numId w:val="8"/>
        </w:numPr>
        <w:spacing w:line="240" w:lineRule="auto"/>
        <w:rPr>
          <w:rFonts w:ascii="Arial" w:hAnsi="Arial" w:cs="Arial"/>
          <w:color w:val="212121"/>
          <w:sz w:val="24"/>
          <w:szCs w:val="24"/>
          <w:shd w:val="clear" w:color="auto" w:fill="FFFFFF"/>
        </w:rPr>
      </w:pPr>
      <w:r>
        <w:rPr>
          <w:rFonts w:ascii="Arial" w:hAnsi="Arial" w:cs="Arial"/>
          <w:color w:val="212121"/>
          <w:sz w:val="24"/>
          <w:szCs w:val="24"/>
          <w:shd w:val="clear" w:color="auto" w:fill="FFFFFF"/>
        </w:rPr>
        <w:t>Fisher MJ, Loguidice M, Gutmann DH, Listernick R, Ferner RE, Ullrich NJ, Packer RJ, Tabori U, Hoffman RO, Ardern-Holmes SL, Hummel TR, Hargrave DR, Bouffet E, Charrow J, Bilaniuk LT, Balcer LJ, Liu GT. Visual outcomes in children with neurofibromatosis type 1-associated optic pathway glioma following chemotherapy: a multicenter retrospective analysis. Neuro Oncol. 2012 Jun;14(6):790-7</w:t>
      </w:r>
    </w:p>
    <w:p>
      <w:pPr>
        <w:pStyle w:val="26"/>
        <w:numPr>
          <w:ilvl w:val="0"/>
          <w:numId w:val="8"/>
        </w:numPr>
        <w:spacing w:line="240" w:lineRule="auto"/>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Ferner RE, Huson SM, Thomas N et al. Guidelines for the diagnosis and management of individuals with Neurofibromatosis 1 (NF1). </w:t>
      </w:r>
      <w:r>
        <w:rPr>
          <w:color w:val="212121"/>
          <w:sz w:val="24"/>
          <w:szCs w:val="24"/>
          <w:shd w:val="clear" w:color="auto" w:fill="FFFFFF"/>
        </w:rPr>
        <w:t xml:space="preserve">J Med Genet. </w:t>
      </w:r>
      <w:r>
        <w:rPr>
          <w:rFonts w:ascii="Arial" w:hAnsi="Arial" w:cs="Arial"/>
          <w:color w:val="212121"/>
          <w:sz w:val="24"/>
          <w:szCs w:val="24"/>
          <w:shd w:val="clear" w:color="auto" w:fill="FFFFFF"/>
        </w:rPr>
        <w:t xml:space="preserve">2007; </w:t>
      </w:r>
      <w:r>
        <w:rPr>
          <w:color w:val="212121"/>
          <w:sz w:val="24"/>
          <w:szCs w:val="24"/>
          <w:shd w:val="clear" w:color="auto" w:fill="FFFFFF"/>
        </w:rPr>
        <w:t>44</w:t>
      </w:r>
      <w:r>
        <w:rPr>
          <w:rFonts w:ascii="Arial" w:hAnsi="Arial" w:cs="Arial"/>
          <w:color w:val="212121"/>
          <w:sz w:val="24"/>
          <w:szCs w:val="24"/>
          <w:shd w:val="clear" w:color="auto" w:fill="FFFFFF"/>
        </w:rPr>
        <w:t>:81–8.</w:t>
      </w:r>
    </w:p>
    <w:p>
      <w:pPr>
        <w:pStyle w:val="26"/>
        <w:numPr>
          <w:ilvl w:val="0"/>
          <w:numId w:val="8"/>
        </w:numPr>
        <w:spacing w:line="240" w:lineRule="auto"/>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King A, Listernick R, Charrow J et al. Optic pathway gliomas in neurofibromatosis type 1: the effect of presenting symptoms on outcome. </w:t>
      </w:r>
      <w:r>
        <w:rPr>
          <w:color w:val="212121"/>
          <w:sz w:val="24"/>
          <w:szCs w:val="24"/>
          <w:shd w:val="clear" w:color="auto" w:fill="FFFFFF"/>
        </w:rPr>
        <w:t xml:space="preserve">Am J Med Genet A. </w:t>
      </w:r>
      <w:r>
        <w:rPr>
          <w:rFonts w:ascii="Arial" w:hAnsi="Arial" w:cs="Arial"/>
          <w:color w:val="212121"/>
          <w:sz w:val="24"/>
          <w:szCs w:val="24"/>
          <w:shd w:val="clear" w:color="auto" w:fill="FFFFFF"/>
        </w:rPr>
        <w:t>2003;</w:t>
      </w:r>
      <w:r>
        <w:rPr>
          <w:color w:val="212121"/>
          <w:sz w:val="24"/>
          <w:szCs w:val="24"/>
          <w:shd w:val="clear" w:color="auto" w:fill="FFFFFF"/>
        </w:rPr>
        <w:t>122A</w:t>
      </w:r>
      <w:r>
        <w:rPr>
          <w:rFonts w:ascii="Arial" w:hAnsi="Arial" w:cs="Arial"/>
          <w:color w:val="212121"/>
          <w:sz w:val="24"/>
          <w:szCs w:val="24"/>
          <w:shd w:val="clear" w:color="auto" w:fill="FFFFFF"/>
        </w:rPr>
        <w:t>:95–9</w:t>
      </w:r>
    </w:p>
    <w:p>
      <w:pPr>
        <w:pStyle w:val="26"/>
        <w:numPr>
          <w:ilvl w:val="0"/>
          <w:numId w:val="8"/>
        </w:numPr>
        <w:spacing w:line="240" w:lineRule="auto"/>
        <w:rPr>
          <w:rFonts w:ascii="Arial" w:hAnsi="Arial" w:cs="Arial"/>
          <w:color w:val="212121"/>
          <w:sz w:val="24"/>
          <w:szCs w:val="24"/>
          <w:shd w:val="clear" w:color="auto" w:fill="FFFFFF"/>
        </w:rPr>
      </w:pPr>
      <w:r>
        <w:rPr>
          <w:rFonts w:ascii="Arial" w:hAnsi="Arial" w:cs="Arial"/>
          <w:color w:val="212121"/>
          <w:sz w:val="24"/>
          <w:szCs w:val="24"/>
          <w:shd w:val="clear" w:color="auto" w:fill="FFFFFF"/>
        </w:rPr>
        <w:t>Listernick R, Ferner RE, Liu GT et al. Optic pathway gliomas in neurofibromatosis-1: controversies and recommendations. Ann Neurol. 2007;61:189–98.</w:t>
      </w:r>
    </w:p>
    <w:p>
      <w:pPr>
        <w:pStyle w:val="26"/>
        <w:numPr>
          <w:ilvl w:val="0"/>
          <w:numId w:val="8"/>
        </w:numPr>
        <w:spacing w:line="240" w:lineRule="auto"/>
        <w:rPr>
          <w:rFonts w:ascii="Arial" w:hAnsi="Arial" w:cs="Arial"/>
          <w:color w:val="212121"/>
          <w:sz w:val="24"/>
          <w:szCs w:val="24"/>
          <w:shd w:val="clear" w:color="auto" w:fill="FFFFFF"/>
        </w:rPr>
      </w:pPr>
      <w:r>
        <w:rPr>
          <w:rFonts w:ascii="Arial" w:hAnsi="Arial" w:cs="Arial"/>
          <w:color w:val="212121"/>
          <w:sz w:val="24"/>
          <w:szCs w:val="24"/>
          <w:shd w:val="clear" w:color="auto" w:fill="FFFFFF"/>
        </w:rPr>
        <w:t>Sabol Z, Resić B, Gjergja Juraski R et al. Clinical sensitivity and specificity of multiple T2-hyperintensities on brain magnetic resonance imaging in diagnosis of neurofibromatosis type 1 in children: diagnostic accuracy study. Croat Med J. 2011;52:488–96.</w:t>
      </w:r>
    </w:p>
    <w:p>
      <w:pPr>
        <w:pStyle w:val="26"/>
        <w:spacing w:line="240" w:lineRule="auto"/>
        <w:rPr>
          <w:rFonts w:ascii="Arial" w:hAnsi="Arial" w:cs="Arial"/>
          <w:color w:val="212121"/>
          <w:sz w:val="24"/>
          <w:szCs w:val="24"/>
          <w:shd w:val="clear" w:color="auto" w:fill="FFFFFF"/>
        </w:rPr>
      </w:pPr>
    </w:p>
    <w:p>
      <w:pPr>
        <w:pStyle w:val="26"/>
        <w:numPr>
          <w:ilvl w:val="0"/>
          <w:numId w:val="8"/>
        </w:numPr>
        <w:spacing w:line="240" w:lineRule="auto"/>
        <w:rPr>
          <w:rFonts w:ascii="Arial" w:hAnsi="Arial" w:cs="Arial"/>
          <w:color w:val="212121"/>
          <w:sz w:val="24"/>
          <w:szCs w:val="24"/>
          <w:shd w:val="clear" w:color="auto" w:fill="FFFFFF"/>
        </w:rPr>
      </w:pPr>
      <w:r>
        <w:rPr>
          <w:rFonts w:ascii="Arial" w:hAnsi="Arial" w:cs="Arial"/>
          <w:color w:val="212121"/>
          <w:sz w:val="24"/>
          <w:szCs w:val="24"/>
          <w:shd w:val="clear" w:color="auto" w:fill="FFFFFF"/>
        </w:rPr>
        <w:t>Kim DH, Murovic JA, Tiel RL et al. A series of 397 peripheral neural sheath tumors: 30-year experience at Louisiana State University Health Sciences Center. J Neurosurg. 2005;102:256–66.</w:t>
      </w:r>
    </w:p>
    <w:p>
      <w:pPr>
        <w:pStyle w:val="26"/>
        <w:numPr>
          <w:ilvl w:val="0"/>
          <w:numId w:val="8"/>
        </w:numPr>
        <w:spacing w:line="240" w:lineRule="auto"/>
        <w:rPr>
          <w:rFonts w:ascii="Arial" w:hAnsi="Arial" w:cs="Arial"/>
          <w:color w:val="212121"/>
          <w:sz w:val="24"/>
          <w:szCs w:val="24"/>
          <w:shd w:val="clear" w:color="auto" w:fill="FFFFFF"/>
        </w:rPr>
      </w:pPr>
      <w:r>
        <w:rPr>
          <w:rFonts w:ascii="Arial" w:hAnsi="Arial" w:cs="Arial"/>
          <w:color w:val="212121"/>
          <w:sz w:val="24"/>
          <w:szCs w:val="24"/>
          <w:shd w:val="clear" w:color="auto" w:fill="FFFFFF"/>
        </w:rPr>
        <w:t>Gross AM et al. Selumetinib in Children with Inoperable Plexiform Neurofibromas. N Engl J Med. 2020 Apr 9;382(15):1430-1442. doi: 10.1056/NEJMoa1912735. Epub 2020 Mar 18. Erratum in: N Engl J Med. 2020 Sep 24;383(13):1290.</w:t>
      </w:r>
    </w:p>
    <w:p>
      <w:pPr>
        <w:pStyle w:val="26"/>
        <w:numPr>
          <w:ilvl w:val="0"/>
          <w:numId w:val="8"/>
        </w:numPr>
        <w:spacing w:after="150" w:line="240" w:lineRule="auto"/>
        <w:textAlignment w:val="top"/>
        <w:rPr>
          <w:rFonts w:ascii="Arial" w:hAnsi="Arial" w:cs="Arial"/>
          <w:color w:val="212121"/>
          <w:sz w:val="24"/>
          <w:szCs w:val="24"/>
          <w:shd w:val="clear" w:color="auto" w:fill="FFFFFF"/>
        </w:rPr>
      </w:pPr>
      <w:r>
        <w:rPr>
          <w:rFonts w:ascii="Arial" w:hAnsi="Arial" w:cs="Arial"/>
          <w:color w:val="212121"/>
          <w:sz w:val="24"/>
          <w:szCs w:val="24"/>
          <w:shd w:val="clear" w:color="auto" w:fill="FFFFFF"/>
        </w:rPr>
        <w:t>De Smet L, Sciot R, Legius E. Multifocal glomus tumours of the fingers in two patients with neurofibromatosis type 1. J Med Genet 2002;39:e45.</w:t>
      </w:r>
    </w:p>
    <w:p>
      <w:pPr>
        <w:pStyle w:val="26"/>
        <w:numPr>
          <w:ilvl w:val="0"/>
          <w:numId w:val="8"/>
        </w:numPr>
        <w:spacing w:line="240" w:lineRule="auto"/>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U.S. FOOD &amp; DRUG.(2020). FDA approves selumetinib for neurofibromatosis type 1 with symptomatic, inoperable plexiform neurofibromas. </w:t>
      </w:r>
      <w:r>
        <w:fldChar w:fldCharType="begin"/>
      </w:r>
      <w:r>
        <w:instrText xml:space="preserve"> HYPERLINK "https://www.fda.gov/drugs/resources-information-approved-drugs/fda-approves-selumetinib-neurofibromatosis-type-1-symptomatic.-" </w:instrText>
      </w:r>
      <w:r>
        <w:fldChar w:fldCharType="separate"/>
      </w:r>
      <w:r>
        <w:rPr>
          <w:color w:val="212121"/>
          <w:sz w:val="24"/>
          <w:szCs w:val="24"/>
          <w:shd w:val="clear" w:color="auto" w:fill="FFFFFF"/>
        </w:rPr>
        <w:t>https://www.fda.gov/drugs/resources-information-approved-drugs/fda-approves-selumetinib-neurofibromatosis-type-1-symptomatic.</w:t>
      </w:r>
      <w:r>
        <w:rPr>
          <w:color w:val="212121"/>
          <w:sz w:val="24"/>
          <w:szCs w:val="24"/>
          <w:shd w:val="clear" w:color="auto" w:fill="FFFFFF"/>
        </w:rPr>
        <w:fldChar w:fldCharType="end"/>
      </w:r>
      <w:r>
        <w:rPr>
          <w:rFonts w:ascii="Arial" w:hAnsi="Arial" w:cs="Arial"/>
          <w:color w:val="212121"/>
          <w:sz w:val="24"/>
          <w:szCs w:val="24"/>
          <w:shd w:val="clear" w:color="auto" w:fill="FFFFFF"/>
        </w:rPr>
        <w:t xml:space="preserve"> </w:t>
      </w:r>
    </w:p>
    <w:p>
      <w:pPr>
        <w:pStyle w:val="26"/>
        <w:numPr>
          <w:ilvl w:val="0"/>
          <w:numId w:val="8"/>
        </w:numPr>
        <w:spacing w:line="240" w:lineRule="auto"/>
        <w:rPr>
          <w:rFonts w:ascii="Arial" w:hAnsi="Arial" w:cs="Arial"/>
          <w:color w:val="212121"/>
          <w:sz w:val="24"/>
          <w:szCs w:val="24"/>
          <w:shd w:val="clear" w:color="auto" w:fill="FFFFFF"/>
        </w:rPr>
      </w:pPr>
      <w:r>
        <w:rPr>
          <w:rFonts w:ascii="Arial" w:hAnsi="Arial" w:cs="Arial"/>
          <w:color w:val="212121"/>
          <w:sz w:val="24"/>
          <w:szCs w:val="24"/>
          <w:shd w:val="clear" w:color="auto" w:fill="FFFFFF"/>
        </w:rPr>
        <w:t>EUROPEAN MEDICINES AGENCY.(2018). Koselugo.https://www.ema.europa.eu/en/medicines/human/EPAR/koselugo.</w:t>
      </w:r>
    </w:p>
    <w:p>
      <w:pPr>
        <w:pStyle w:val="26"/>
        <w:numPr>
          <w:ilvl w:val="0"/>
          <w:numId w:val="8"/>
        </w:numPr>
        <w:spacing w:line="240" w:lineRule="auto"/>
        <w:rPr>
          <w:rFonts w:ascii="Arial" w:hAnsi="Arial" w:cs="Arial"/>
          <w:color w:val="212121"/>
          <w:sz w:val="24"/>
          <w:szCs w:val="24"/>
          <w:shd w:val="clear" w:color="auto" w:fill="FFFFFF"/>
        </w:rPr>
      </w:pPr>
      <w:r>
        <w:rPr>
          <w:rFonts w:ascii="Arial" w:hAnsi="Arial" w:cs="Arial"/>
          <w:color w:val="212121"/>
          <w:sz w:val="24"/>
          <w:szCs w:val="24"/>
          <w:shd w:val="clear" w:color="auto" w:fill="FFFFFF"/>
        </w:rPr>
        <w:t>National Institute for Health and Care Excellence. (2022).  Selumetinib for treating symptomatic and inoperable plexiform neurofibromas associated with type 1 neurofibromatosis in children aged 3 and over.https://www.nice.org.uk/guidance/hst20.</w:t>
      </w:r>
    </w:p>
    <w:p>
      <w:pPr>
        <w:pStyle w:val="26"/>
        <w:rPr>
          <w:rFonts w:ascii="Arial" w:hAnsi="Arial" w:cs="Arial"/>
          <w:color w:val="212121"/>
          <w:sz w:val="24"/>
          <w:szCs w:val="24"/>
          <w:shd w:val="clear" w:color="auto" w:fill="FFFFFF"/>
        </w:rPr>
      </w:pPr>
    </w:p>
    <w:p>
      <w:pPr>
        <w:pStyle w:val="26"/>
        <w:numPr>
          <w:ilvl w:val="0"/>
          <w:numId w:val="8"/>
        </w:numPr>
        <w:spacing w:line="240" w:lineRule="auto"/>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Listernick R, Gutmann DH. Tumors of the optic pathway. In: Friedman JM, Gutmann DH, MacCollin M, Riccardi VM, eds. </w:t>
      </w:r>
      <w:r>
        <w:rPr>
          <w:i/>
          <w:iCs/>
          <w:color w:val="212121"/>
          <w:sz w:val="24"/>
          <w:szCs w:val="24"/>
          <w:shd w:val="clear" w:color="auto" w:fill="FFFFFF"/>
        </w:rPr>
        <w:t>Neurofibromatosis: Phenotype, Natural History, and Pathogenesis.</w:t>
      </w:r>
      <w:r>
        <w:rPr>
          <w:rFonts w:ascii="Arial" w:hAnsi="Arial" w:cs="Arial"/>
          <w:color w:val="212121"/>
          <w:sz w:val="24"/>
          <w:szCs w:val="24"/>
          <w:shd w:val="clear" w:color="auto" w:fill="FFFFFF"/>
        </w:rPr>
        <w:t xml:space="preserve"> Baltimore, MD: Johns Hopkins University Press; 1999:203-30.</w:t>
      </w:r>
    </w:p>
    <w:p>
      <w:pPr>
        <w:spacing w:line="240" w:lineRule="auto"/>
        <w:rPr>
          <w:rFonts w:ascii="Arial" w:hAnsi="Arial" w:cs="Arial"/>
          <w:color w:val="212121"/>
          <w:sz w:val="24"/>
          <w:szCs w:val="24"/>
          <w:shd w:val="clear" w:color="auto" w:fill="FFFFFF"/>
        </w:rPr>
      </w:pPr>
    </w:p>
    <w:p>
      <w:pPr>
        <w:pStyle w:val="26"/>
        <w:numPr>
          <w:ilvl w:val="0"/>
          <w:numId w:val="8"/>
        </w:numPr>
        <w:spacing w:line="240" w:lineRule="auto"/>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Pensak ML, Keith RW, Dignan PS et al. Neuroaudiologic abnormalities in patients with type 1 neurofibromatosis. Laryngoscope. 1989;99(7 Pt 1):702-6. </w:t>
      </w:r>
    </w:p>
    <w:p>
      <w:pPr>
        <w:pStyle w:val="26"/>
        <w:numPr>
          <w:ilvl w:val="0"/>
          <w:numId w:val="8"/>
        </w:numPr>
        <w:spacing w:line="240" w:lineRule="auto"/>
        <w:rPr>
          <w:rFonts w:ascii="Arial" w:hAnsi="Arial" w:cs="Arial"/>
          <w:color w:val="212121"/>
          <w:sz w:val="24"/>
          <w:szCs w:val="24"/>
          <w:shd w:val="clear" w:color="auto" w:fill="FFFFFF"/>
        </w:rPr>
      </w:pPr>
      <w:r>
        <w:rPr>
          <w:rFonts w:ascii="Arial" w:hAnsi="Arial" w:cs="Arial"/>
          <w:color w:val="212121"/>
          <w:sz w:val="24"/>
          <w:szCs w:val="24"/>
          <w:shd w:val="clear" w:color="auto" w:fill="FFFFFF"/>
        </w:rPr>
        <w:t>Miller DT, Freedenberg D, Schorry E, Ullrich NJ, Viskochil D, Korf BR; COUNCIL ON GENETICS; AMERICAN COLLEGE OF MEDICAL GENETICS AND GENOMICS. Health Supervision for Children With Neurofibromatosis Type 1. Pediatrics. 2019 May;143(5):e20190660.</w:t>
      </w:r>
    </w:p>
    <w:p>
      <w:pPr>
        <w:spacing w:line="240" w:lineRule="auto"/>
        <w:rPr>
          <w:rFonts w:ascii="Arial" w:hAnsi="Arial" w:cs="Arial"/>
          <w:color w:val="212121"/>
          <w:sz w:val="24"/>
          <w:szCs w:val="24"/>
          <w:shd w:val="clear" w:color="auto" w:fill="FFFFFF"/>
        </w:rPr>
      </w:pPr>
    </w:p>
    <w:p>
      <w:pPr>
        <w:pStyle w:val="26"/>
        <w:numPr>
          <w:ilvl w:val="0"/>
          <w:numId w:val="8"/>
        </w:numPr>
        <w:spacing w:after="150" w:line="240" w:lineRule="auto"/>
        <w:textAlignment w:val="top"/>
        <w:rPr>
          <w:rFonts w:ascii="Arial" w:hAnsi="Arial" w:cs="Arial"/>
          <w:color w:val="212121"/>
          <w:sz w:val="24"/>
          <w:szCs w:val="24"/>
          <w:shd w:val="clear" w:color="auto" w:fill="FFFFFF"/>
        </w:rPr>
      </w:pPr>
      <w:r>
        <w:rPr>
          <w:rFonts w:ascii="Arial" w:hAnsi="Arial" w:cs="Arial"/>
          <w:color w:val="212121"/>
          <w:sz w:val="24"/>
          <w:szCs w:val="24"/>
          <w:shd w:val="clear" w:color="auto" w:fill="FFFFFF"/>
        </w:rPr>
        <w:t>Vivarelli R, Grosso S, Calabrese F et al. Epilepsy in neurofibromatosis 1. J Child Neurol 18:338–42.</w:t>
      </w:r>
    </w:p>
    <w:p>
      <w:pPr>
        <w:spacing w:after="150" w:line="240" w:lineRule="auto"/>
        <w:textAlignment w:val="top"/>
        <w:rPr>
          <w:rFonts w:ascii="Arial" w:hAnsi="Arial" w:cs="Arial"/>
          <w:color w:val="212121"/>
          <w:sz w:val="24"/>
          <w:szCs w:val="24"/>
          <w:shd w:val="clear" w:color="auto" w:fill="FFFFFF"/>
        </w:rPr>
      </w:pPr>
    </w:p>
    <w:p>
      <w:pPr>
        <w:pStyle w:val="26"/>
        <w:numPr>
          <w:ilvl w:val="0"/>
          <w:numId w:val="8"/>
        </w:numPr>
        <w:spacing w:after="150" w:line="240" w:lineRule="auto"/>
        <w:textAlignment w:val="top"/>
        <w:rPr>
          <w:bCs/>
          <w:color w:val="212121"/>
          <w:sz w:val="24"/>
          <w:szCs w:val="24"/>
          <w:shd w:val="clear" w:color="auto" w:fill="FFFFFF"/>
        </w:rPr>
      </w:pPr>
      <w:r>
        <w:rPr>
          <w:rFonts w:ascii="Arial" w:hAnsi="Arial" w:cs="Arial"/>
          <w:color w:val="212121"/>
          <w:sz w:val="24"/>
          <w:szCs w:val="24"/>
          <w:shd w:val="clear" w:color="auto" w:fill="FFFFFF"/>
        </w:rPr>
        <w:t>Crawford A HJr, Bagamery N. Osseous manifestations of neurofibromatosis in childhood. J Pediatr Orthop1986;6:72–88.</w:t>
      </w:r>
    </w:p>
    <w:p>
      <w:pPr>
        <w:pStyle w:val="26"/>
        <w:spacing w:line="240" w:lineRule="auto"/>
        <w:rPr>
          <w:rFonts w:ascii="Arial" w:hAnsi="Arial" w:cs="Arial"/>
          <w:color w:val="212121"/>
          <w:sz w:val="24"/>
          <w:szCs w:val="24"/>
          <w:shd w:val="clear" w:color="auto" w:fill="FFFFFF"/>
        </w:rPr>
      </w:pPr>
    </w:p>
    <w:p>
      <w:pPr>
        <w:pStyle w:val="26"/>
        <w:numPr>
          <w:ilvl w:val="0"/>
          <w:numId w:val="8"/>
        </w:numPr>
        <w:shd w:val="clear" w:color="auto" w:fill="FFFFFF"/>
        <w:spacing w:before="120" w:after="360" w:line="240" w:lineRule="auto"/>
        <w:ind w:right="2"/>
        <w:rPr>
          <w:rFonts w:ascii="Arial" w:hAnsi="Arial" w:cs="Arial"/>
          <w:color w:val="212121"/>
          <w:sz w:val="24"/>
          <w:szCs w:val="24"/>
          <w:shd w:val="clear" w:color="auto" w:fill="FFFFFF"/>
        </w:rPr>
      </w:pPr>
      <w:r>
        <w:fldChar w:fldCharType="begin"/>
      </w:r>
      <w:r>
        <w:instrText xml:space="preserve"> HYPERLINK "http://www.ncbi.nlm.nih.gov/pubmed?term=Friedman%20JM%5BAuthor%5D&amp;cauthor=true&amp;cauthor_uid=12180143" </w:instrText>
      </w:r>
      <w:r>
        <w:fldChar w:fldCharType="separate"/>
      </w:r>
      <w:r>
        <w:rPr>
          <w:rFonts w:ascii="Arial" w:hAnsi="Arial" w:cs="Arial"/>
          <w:color w:val="212121"/>
          <w:sz w:val="24"/>
          <w:szCs w:val="24"/>
          <w:shd w:val="clear" w:color="auto" w:fill="FFFFFF"/>
        </w:rPr>
        <w:t>Friedman JM</w:t>
      </w:r>
      <w:r>
        <w:rPr>
          <w:rFonts w:ascii="Arial" w:hAnsi="Arial" w:cs="Arial"/>
          <w:color w:val="212121"/>
          <w:sz w:val="24"/>
          <w:szCs w:val="24"/>
          <w:shd w:val="clear" w:color="auto" w:fill="FFFFFF"/>
        </w:rPr>
        <w:fldChar w:fldCharType="end"/>
      </w:r>
      <w:r>
        <w:rPr>
          <w:rFonts w:ascii="Arial" w:hAnsi="Arial" w:cs="Arial"/>
          <w:color w:val="212121"/>
          <w:sz w:val="24"/>
          <w:szCs w:val="24"/>
          <w:shd w:val="clear" w:color="auto" w:fill="FFFFFF"/>
        </w:rPr>
        <w:t xml:space="preserve">, </w:t>
      </w:r>
      <w:r>
        <w:fldChar w:fldCharType="begin"/>
      </w:r>
      <w:r>
        <w:instrText xml:space="preserve"> HYPERLINK "http://www.ncbi.nlm.nih.gov/pubmed?term=Arbiser%20J%5BAuthor%5D&amp;cauthor=true&amp;cauthor_uid=12180143" </w:instrText>
      </w:r>
      <w:r>
        <w:fldChar w:fldCharType="separate"/>
      </w:r>
      <w:r>
        <w:rPr>
          <w:rFonts w:ascii="Arial" w:hAnsi="Arial" w:cs="Arial"/>
          <w:color w:val="212121"/>
          <w:sz w:val="24"/>
          <w:szCs w:val="24"/>
          <w:shd w:val="clear" w:color="auto" w:fill="FFFFFF"/>
        </w:rPr>
        <w:t>Arbiser J</w:t>
      </w:r>
      <w:r>
        <w:rPr>
          <w:rFonts w:ascii="Arial" w:hAnsi="Arial" w:cs="Arial"/>
          <w:color w:val="212121"/>
          <w:sz w:val="24"/>
          <w:szCs w:val="24"/>
          <w:shd w:val="clear" w:color="auto" w:fill="FFFFFF"/>
        </w:rPr>
        <w:fldChar w:fldCharType="end"/>
      </w:r>
      <w:r>
        <w:rPr>
          <w:rFonts w:ascii="Arial" w:hAnsi="Arial" w:cs="Arial"/>
          <w:color w:val="212121"/>
          <w:sz w:val="24"/>
          <w:szCs w:val="24"/>
          <w:shd w:val="clear" w:color="auto" w:fill="FFFFFF"/>
        </w:rPr>
        <w:t xml:space="preserve">, </w:t>
      </w:r>
      <w:r>
        <w:fldChar w:fldCharType="begin"/>
      </w:r>
      <w:r>
        <w:instrText xml:space="preserve"> HYPERLINK "http://www.ncbi.nlm.nih.gov/pubmed?term=Epstein%20JA%5BAuthor%5D&amp;cauthor=true&amp;cauthor_uid=12180143" </w:instrText>
      </w:r>
      <w:r>
        <w:fldChar w:fldCharType="separate"/>
      </w:r>
      <w:r>
        <w:rPr>
          <w:rFonts w:ascii="Arial" w:hAnsi="Arial" w:cs="Arial"/>
          <w:color w:val="212121"/>
          <w:sz w:val="24"/>
          <w:szCs w:val="24"/>
          <w:shd w:val="clear" w:color="auto" w:fill="FFFFFF"/>
        </w:rPr>
        <w:t>Epstein JA</w:t>
      </w:r>
      <w:r>
        <w:rPr>
          <w:rFonts w:ascii="Arial" w:hAnsi="Arial" w:cs="Arial"/>
          <w:color w:val="212121"/>
          <w:sz w:val="24"/>
          <w:szCs w:val="24"/>
          <w:shd w:val="clear" w:color="auto" w:fill="FFFFFF"/>
        </w:rPr>
        <w:fldChar w:fldCharType="end"/>
      </w:r>
      <w:r>
        <w:rPr>
          <w:rFonts w:ascii="Arial" w:hAnsi="Arial" w:cs="Arial"/>
          <w:color w:val="212121"/>
          <w:sz w:val="24"/>
          <w:szCs w:val="24"/>
          <w:shd w:val="clear" w:color="auto" w:fill="FFFFFF"/>
        </w:rPr>
        <w:t xml:space="preserve"> et al. Cardiovascular disease in neurofibromatosis 1: report of the NF1 Cardiovascular Task Force. </w:t>
      </w:r>
      <w:r>
        <w:fldChar w:fldCharType="begin"/>
      </w:r>
      <w:r>
        <w:instrText xml:space="preserve"> HYPERLINK "http://www.ncbi.nlm.nih.gov/pubmed/12180143" \o "Genetics in medicine : official journal of the American College of Medical Genetics." </w:instrText>
      </w:r>
      <w:r>
        <w:fldChar w:fldCharType="separate"/>
      </w:r>
      <w:r>
        <w:rPr>
          <w:rFonts w:ascii="Arial" w:hAnsi="Arial" w:cs="Arial"/>
          <w:color w:val="212121"/>
          <w:sz w:val="24"/>
          <w:szCs w:val="24"/>
          <w:shd w:val="clear" w:color="auto" w:fill="FFFFFF"/>
        </w:rPr>
        <w:t>Genet Med.</w:t>
      </w:r>
      <w:r>
        <w:rPr>
          <w:rFonts w:ascii="Arial" w:hAnsi="Arial" w:cs="Arial"/>
          <w:color w:val="212121"/>
          <w:sz w:val="24"/>
          <w:szCs w:val="24"/>
          <w:shd w:val="clear" w:color="auto" w:fill="FFFFFF"/>
        </w:rPr>
        <w:fldChar w:fldCharType="end"/>
      </w:r>
      <w:r>
        <w:rPr>
          <w:rFonts w:ascii="Arial" w:hAnsi="Arial" w:cs="Arial"/>
          <w:color w:val="212121"/>
          <w:sz w:val="24"/>
          <w:szCs w:val="24"/>
          <w:shd w:val="clear" w:color="auto" w:fill="FFFFFF"/>
        </w:rPr>
        <w:t xml:space="preserve"> 2002:4(3):105-11</w:t>
      </w:r>
    </w:p>
    <w:p>
      <w:pPr>
        <w:pStyle w:val="26"/>
        <w:spacing w:line="240" w:lineRule="auto"/>
        <w:rPr>
          <w:rFonts w:ascii="Arial" w:hAnsi="Arial" w:cs="Arial"/>
          <w:color w:val="212121"/>
          <w:sz w:val="24"/>
          <w:szCs w:val="24"/>
          <w:shd w:val="clear" w:color="auto" w:fill="FFFFFF"/>
        </w:rPr>
      </w:pPr>
    </w:p>
    <w:p>
      <w:pPr>
        <w:pStyle w:val="26"/>
        <w:numPr>
          <w:ilvl w:val="0"/>
          <w:numId w:val="8"/>
        </w:numPr>
        <w:spacing w:line="240" w:lineRule="auto"/>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Miettinen M, Fetsch JF, Sobin LH et al. Gastrointestinal stromal tumors in patients with neurofibromatosis 1: a clinicopathologic and molecular genetic study of 45 cases. </w:t>
      </w:r>
      <w:r>
        <w:rPr>
          <w:color w:val="212121"/>
          <w:sz w:val="24"/>
          <w:szCs w:val="24"/>
          <w:shd w:val="clear" w:color="auto" w:fill="FFFFFF"/>
        </w:rPr>
        <w:t xml:space="preserve">Am J Surg Pathol. </w:t>
      </w:r>
      <w:r>
        <w:rPr>
          <w:rFonts w:ascii="Arial" w:hAnsi="Arial" w:cs="Arial"/>
          <w:color w:val="212121"/>
          <w:sz w:val="24"/>
          <w:szCs w:val="24"/>
          <w:shd w:val="clear" w:color="auto" w:fill="FFFFFF"/>
        </w:rPr>
        <w:t>2006;</w:t>
      </w:r>
      <w:r>
        <w:rPr>
          <w:color w:val="212121"/>
          <w:sz w:val="24"/>
          <w:szCs w:val="24"/>
          <w:shd w:val="clear" w:color="auto" w:fill="FFFFFF"/>
        </w:rPr>
        <w:t>30</w:t>
      </w:r>
      <w:r>
        <w:rPr>
          <w:rFonts w:ascii="Arial" w:hAnsi="Arial" w:cs="Arial"/>
          <w:color w:val="212121"/>
          <w:sz w:val="24"/>
          <w:szCs w:val="24"/>
          <w:shd w:val="clear" w:color="auto" w:fill="FFFFFF"/>
        </w:rPr>
        <w:t>:90–6</w:t>
      </w:r>
    </w:p>
    <w:p>
      <w:pPr>
        <w:pStyle w:val="26"/>
        <w:spacing w:line="240" w:lineRule="auto"/>
        <w:rPr>
          <w:rFonts w:ascii="Arial" w:hAnsi="Arial" w:cs="Arial"/>
          <w:color w:val="212121"/>
          <w:sz w:val="24"/>
          <w:szCs w:val="24"/>
          <w:shd w:val="clear" w:color="auto" w:fill="FFFFFF"/>
        </w:rPr>
      </w:pPr>
    </w:p>
    <w:p>
      <w:pPr>
        <w:pStyle w:val="26"/>
        <w:numPr>
          <w:ilvl w:val="0"/>
          <w:numId w:val="8"/>
        </w:numPr>
        <w:spacing w:line="240" w:lineRule="auto"/>
        <w:rPr>
          <w:rFonts w:ascii="Arial" w:hAnsi="Arial" w:cs="Arial"/>
          <w:color w:val="212121"/>
          <w:sz w:val="24"/>
          <w:szCs w:val="24"/>
          <w:shd w:val="clear" w:color="auto" w:fill="FFFFFF"/>
        </w:rPr>
      </w:pPr>
      <w:r>
        <w:rPr>
          <w:bCs/>
          <w:color w:val="212121"/>
          <w:sz w:val="24"/>
          <w:szCs w:val="24"/>
          <w:shd w:val="clear" w:color="auto" w:fill="FFFFFF"/>
        </w:rPr>
        <w:t>Hyman S L</w:t>
      </w:r>
      <w:r>
        <w:rPr>
          <w:rFonts w:ascii="Arial" w:hAnsi="Arial" w:cs="Arial"/>
          <w:color w:val="212121"/>
          <w:sz w:val="24"/>
          <w:szCs w:val="24"/>
          <w:shd w:val="clear" w:color="auto" w:fill="FFFFFF"/>
        </w:rPr>
        <w:t xml:space="preserve">, Shores A, North K N. The nature and frequency of cognitive deficits in children with neurofibromatosis type 1. </w:t>
      </w:r>
      <w:r>
        <w:rPr>
          <w:color w:val="212121"/>
          <w:sz w:val="24"/>
          <w:szCs w:val="24"/>
          <w:shd w:val="clear" w:color="auto" w:fill="FFFFFF"/>
        </w:rPr>
        <w:t>Neurology 2005</w:t>
      </w:r>
      <w:r>
        <w:rPr>
          <w:rFonts w:ascii="Arial" w:hAnsi="Arial" w:cs="Arial"/>
          <w:color w:val="212121"/>
          <w:sz w:val="24"/>
          <w:szCs w:val="24"/>
          <w:shd w:val="clear" w:color="auto" w:fill="FFFFFF"/>
        </w:rPr>
        <w:t>;</w:t>
      </w:r>
      <w:r>
        <w:rPr>
          <w:bCs/>
          <w:color w:val="212121"/>
          <w:sz w:val="24"/>
          <w:szCs w:val="24"/>
          <w:shd w:val="clear" w:color="auto" w:fill="FFFFFF"/>
        </w:rPr>
        <w:t>11</w:t>
      </w:r>
      <w:r>
        <w:rPr>
          <w:rFonts w:ascii="Arial" w:hAnsi="Arial" w:cs="Arial"/>
          <w:color w:val="212121"/>
          <w:sz w:val="24"/>
          <w:szCs w:val="24"/>
          <w:shd w:val="clear" w:color="auto" w:fill="FFFFFF"/>
        </w:rPr>
        <w:t>:</w:t>
      </w:r>
      <w:r>
        <w:rPr>
          <w:color w:val="212121"/>
          <w:sz w:val="24"/>
          <w:szCs w:val="24"/>
          <w:shd w:val="clear" w:color="auto" w:fill="FFFFFF"/>
        </w:rPr>
        <w:t>1037</w:t>
      </w:r>
      <w:r>
        <w:rPr>
          <w:rFonts w:ascii="Arial" w:hAnsi="Arial" w:cs="Arial"/>
          <w:color w:val="212121"/>
          <w:sz w:val="24"/>
          <w:szCs w:val="24"/>
          <w:shd w:val="clear" w:color="auto" w:fill="FFFFFF"/>
        </w:rPr>
        <w:t>–44</w:t>
      </w:r>
    </w:p>
    <w:p>
      <w:pPr>
        <w:pStyle w:val="26"/>
        <w:spacing w:line="240" w:lineRule="auto"/>
        <w:rPr>
          <w:rFonts w:ascii="Arial" w:hAnsi="Arial" w:cs="Arial"/>
          <w:color w:val="212121"/>
          <w:sz w:val="24"/>
          <w:szCs w:val="24"/>
          <w:shd w:val="clear" w:color="auto" w:fill="FFFFFF"/>
        </w:rPr>
      </w:pPr>
    </w:p>
    <w:p>
      <w:pPr>
        <w:pStyle w:val="26"/>
        <w:numPr>
          <w:ilvl w:val="0"/>
          <w:numId w:val="8"/>
        </w:numPr>
        <w:spacing w:line="240" w:lineRule="auto"/>
        <w:rPr>
          <w:rFonts w:ascii="Arial" w:hAnsi="Arial" w:cs="Arial"/>
          <w:color w:val="212121"/>
          <w:sz w:val="24"/>
          <w:szCs w:val="24"/>
          <w:shd w:val="clear" w:color="auto" w:fill="FFFFFF"/>
        </w:rPr>
      </w:pPr>
      <w:r>
        <w:rPr>
          <w:rFonts w:ascii="Arial" w:hAnsi="Arial" w:cs="Arial"/>
          <w:color w:val="212121"/>
          <w:sz w:val="24"/>
          <w:szCs w:val="24"/>
          <w:shd w:val="clear" w:color="auto" w:fill="FFFFFF"/>
        </w:rPr>
        <w:t>Mautner V F, Kluwe L, Thakker S D et al. Treatment of ADHD in neurofibromatosis 1. Dev Med Child Neurol 2002;44:164–70</w:t>
      </w:r>
    </w:p>
    <w:p>
      <w:pPr>
        <w:pStyle w:val="26"/>
        <w:spacing w:line="240" w:lineRule="auto"/>
        <w:rPr>
          <w:rFonts w:ascii="Arial" w:hAnsi="Arial" w:cs="Arial"/>
          <w:color w:val="212121"/>
          <w:sz w:val="24"/>
          <w:szCs w:val="24"/>
          <w:shd w:val="clear" w:color="auto" w:fill="FFFFFF"/>
        </w:rPr>
      </w:pPr>
    </w:p>
    <w:p>
      <w:pPr>
        <w:pStyle w:val="26"/>
        <w:numPr>
          <w:ilvl w:val="0"/>
          <w:numId w:val="8"/>
        </w:numPr>
        <w:spacing w:line="240" w:lineRule="auto"/>
        <w:rPr>
          <w:rFonts w:ascii="Arial" w:hAnsi="Arial" w:cs="Arial"/>
          <w:color w:val="212121"/>
          <w:sz w:val="24"/>
          <w:szCs w:val="24"/>
          <w:shd w:val="clear" w:color="auto" w:fill="FFFFFF"/>
        </w:rPr>
      </w:pPr>
      <w:r>
        <w:rPr>
          <w:rFonts w:ascii="Arial" w:hAnsi="Arial" w:cs="Arial"/>
          <w:color w:val="212121"/>
          <w:sz w:val="24"/>
          <w:szCs w:val="24"/>
          <w:shd w:val="clear" w:color="auto" w:fill="FFFFFF"/>
        </w:rPr>
        <w:t>Dugoff L, Sujansky E. Neurofibromatosis type 1 and pregnancy. Am J Med Genet. 1996;66:7–10.</w:t>
      </w:r>
    </w:p>
    <w:p>
      <w:pPr>
        <w:spacing w:line="240" w:lineRule="auto"/>
        <w:ind w:left="360"/>
        <w:rPr>
          <w:rFonts w:ascii="Arial" w:hAnsi="Arial" w:cs="Arial"/>
          <w:color w:val="212121"/>
          <w:sz w:val="24"/>
          <w:szCs w:val="24"/>
          <w:shd w:val="clear" w:color="auto" w:fill="FFFFFF"/>
        </w:rPr>
      </w:pPr>
    </w:p>
    <w:p>
      <w:pPr>
        <w:pStyle w:val="26"/>
        <w:numPr>
          <w:ilvl w:val="0"/>
          <w:numId w:val="8"/>
        </w:numPr>
        <w:spacing w:before="100" w:beforeAutospacing="1" w:after="160" w:line="256" w:lineRule="auto"/>
        <w:rPr>
          <w:rFonts w:ascii="Arial" w:hAnsi="Arial" w:cs="Arial"/>
          <w:color w:val="212121"/>
          <w:sz w:val="24"/>
          <w:szCs w:val="24"/>
          <w:shd w:val="clear" w:color="auto" w:fill="FFFFFF"/>
        </w:rPr>
      </w:pPr>
      <w:r>
        <w:rPr>
          <w:rFonts w:ascii="Arial" w:hAnsi="Arial" w:cs="Arial"/>
          <w:color w:val="212121"/>
          <w:sz w:val="24"/>
          <w:szCs w:val="24"/>
          <w:shd w:val="clear" w:color="auto" w:fill="FFFFFF"/>
        </w:rPr>
        <w:t>Howell SJ, Hockenhull K, Salih Z, Evans DG. Increased risk of breast cancer in     neurofibromatosis type 1: current insights. Breast Cancer (Dove Med Press). 2017 Aug 21;9:531-536. doi: 10.2147/BCTT.S111397. PMID: 28860858; PMCID: PMC5573065.</w:t>
      </w:r>
    </w:p>
    <w:p>
      <w:pPr>
        <w:pStyle w:val="2"/>
        <w:numPr>
          <w:ilvl w:val="0"/>
          <w:numId w:val="8"/>
        </w:numPr>
        <w:shd w:val="clear" w:color="auto" w:fill="FBFAF8"/>
        <w:rPr>
          <w:rFonts w:ascii="Arial" w:hAnsi="Arial" w:eastAsia="Calibri" w:cs="Arial"/>
          <w:color w:val="212121"/>
          <w:sz w:val="24"/>
          <w:szCs w:val="24"/>
          <w:shd w:val="clear" w:color="auto" w:fill="FFFFFF"/>
        </w:rPr>
      </w:pPr>
      <w:r>
        <w:rPr>
          <w:rFonts w:ascii="Arial" w:hAnsi="Arial" w:eastAsia="Calibri" w:cs="Arial"/>
          <w:color w:val="212121"/>
          <w:sz w:val="24"/>
          <w:szCs w:val="24"/>
          <w:shd w:val="clear" w:color="auto" w:fill="FFFFFF"/>
        </w:rPr>
        <w:t>National Institute for Health and Care Excellence. Familial breast cancer: classification, care and managing breast cancer and related risks in people with a family history of breast cancer.https://www.nice.org.uk/guidance/cg164/ifp/chapter/early-detection-of-breast-cancer-by-surveillance.</w:t>
      </w:r>
    </w:p>
    <w:p>
      <w:pPr>
        <w:rPr>
          <w:rFonts w:ascii="Arial" w:hAnsi="Arial" w:cs="Arial"/>
          <w:color w:val="212121"/>
          <w:sz w:val="24"/>
          <w:szCs w:val="24"/>
          <w:shd w:val="clear" w:color="auto" w:fill="FFFFFF"/>
        </w:rPr>
      </w:pPr>
    </w:p>
    <w:p>
      <w:pPr>
        <w:pStyle w:val="26"/>
        <w:numPr>
          <w:ilvl w:val="0"/>
          <w:numId w:val="8"/>
        </w:numPr>
        <w:spacing w:after="0" w:line="240" w:lineRule="auto"/>
        <w:rPr>
          <w:rFonts w:ascii="Arial" w:hAnsi="Arial" w:cs="Arial"/>
          <w:color w:val="212121"/>
          <w:sz w:val="24"/>
          <w:szCs w:val="24"/>
          <w:shd w:val="clear" w:color="auto" w:fill="FFFFFF"/>
        </w:rPr>
      </w:pPr>
      <w:r>
        <w:rPr>
          <w:rFonts w:ascii="Arial" w:hAnsi="Arial" w:cs="Arial"/>
          <w:color w:val="212121"/>
          <w:sz w:val="24"/>
          <w:szCs w:val="24"/>
          <w:shd w:val="clear" w:color="auto" w:fill="FFFFFF"/>
        </w:rPr>
        <w:t>Evans DGR  et al. Breast cancer in neurofibromatosis 1: survival and risk of contralateral breast cancer in a five country cohort study. Genet Med. 2020 Feb;22(2):398-406</w:t>
      </w:r>
    </w:p>
    <w:p>
      <w:pPr>
        <w:spacing w:line="240" w:lineRule="auto"/>
        <w:ind w:left="360"/>
        <w:rPr>
          <w:rFonts w:ascii="Arial" w:hAnsi="Arial" w:cs="Arial"/>
          <w:color w:val="212121"/>
          <w:sz w:val="24"/>
          <w:szCs w:val="24"/>
          <w:shd w:val="clear" w:color="auto" w:fill="FFFFFF"/>
        </w:rPr>
      </w:pPr>
    </w:p>
    <w:p>
      <w:pPr>
        <w:pStyle w:val="26"/>
        <w:spacing w:line="240" w:lineRule="auto"/>
        <w:rPr>
          <w:rFonts w:ascii="Arial" w:hAnsi="Arial" w:cs="Arial"/>
          <w:color w:val="212121"/>
          <w:sz w:val="24"/>
          <w:szCs w:val="24"/>
          <w:shd w:val="clear" w:color="auto" w:fill="FFFFFF"/>
        </w:rPr>
      </w:pPr>
    </w:p>
    <w:p>
      <w:pPr>
        <w:tabs>
          <w:tab w:val="left" w:pos="1530"/>
        </w:tabs>
        <w:jc w:val="both"/>
        <w:rPr>
          <w:rFonts w:ascii="Arial" w:hAnsi="Arial" w:cs="Arial"/>
          <w:color w:val="212121"/>
          <w:sz w:val="24"/>
          <w:szCs w:val="24"/>
          <w:shd w:val="clear" w:color="auto" w:fill="FFFFFF"/>
        </w:rPr>
      </w:pPr>
    </w:p>
    <w:p>
      <w:pPr>
        <w:pStyle w:val="26"/>
        <w:spacing w:line="240" w:lineRule="auto"/>
        <w:rPr>
          <w:rFonts w:ascii="Arial" w:hAnsi="Arial" w:cs="Arial"/>
          <w:bCs/>
          <w:iCs/>
          <w:color w:val="000000" w:themeColor="text1"/>
          <w:sz w:val="24"/>
          <w:szCs w:val="24"/>
        </w:rPr>
      </w:pPr>
    </w:p>
    <w:p>
      <w:pPr>
        <w:pStyle w:val="26"/>
        <w:spacing w:line="240" w:lineRule="auto"/>
        <w:rPr>
          <w:rFonts w:ascii="Arial" w:hAnsi="Arial" w:cs="Arial"/>
          <w:bCs/>
          <w:iCs/>
          <w:color w:val="000000" w:themeColor="text1"/>
          <w:sz w:val="24"/>
          <w:szCs w:val="24"/>
        </w:rPr>
      </w:pPr>
    </w:p>
    <w:p>
      <w:pPr>
        <w:tabs>
          <w:tab w:val="left" w:pos="1530"/>
        </w:tabs>
        <w:jc w:val="both"/>
        <w:rPr>
          <w:rFonts w:ascii="Arial" w:hAnsi="Arial" w:cs="Arial"/>
          <w:b/>
          <w:color w:val="FF0000"/>
          <w:sz w:val="24"/>
          <w:szCs w:val="24"/>
        </w:rPr>
      </w:pPr>
    </w:p>
    <w:p>
      <w:pPr>
        <w:tabs>
          <w:tab w:val="left" w:pos="1530"/>
        </w:tabs>
        <w:jc w:val="both"/>
        <w:rPr>
          <w:rFonts w:ascii="Arial" w:hAnsi="Arial" w:cs="Arial"/>
          <w:b/>
          <w:sz w:val="24"/>
          <w:szCs w:val="24"/>
        </w:rPr>
      </w:pPr>
    </w:p>
    <w:sectPr>
      <w:headerReference r:id="rId5" w:type="default"/>
      <w:footerReference r:id="rId6" w:type="default"/>
      <w:pgSz w:w="12240" w:h="15840"/>
      <w:pgMar w:top="1440" w:right="1440" w:bottom="1440" w:left="1440" w:header="720" w:footer="720" w:gutter="0"/>
      <w:pgBorders w:offsetFrom="page">
        <w:top w:val="double" w:color="auto" w:sz="4" w:space="24"/>
        <w:left w:val="double" w:color="auto" w:sz="4" w:space="24"/>
        <w:bottom w:val="double" w:color="auto" w:sz="4" w:space="24"/>
        <w:right w:val="double" w:color="auto" w:sz="4" w:space="24"/>
      </w:pgBorders>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宋体-简">
    <w:panose1 w:val="02010600040101010101"/>
    <w:charset w:val="86"/>
    <w:family w:val="auto"/>
    <w:pitch w:val="default"/>
    <w:sig w:usb0="00000000" w:usb1="00000000" w:usb2="00000000" w:usb3="00000000" w:csb0="00160000" w:csb1="00000000"/>
  </w:font>
  <w:font w:name="Arial">
    <w:panose1 w:val="020B0604020202020204"/>
    <w:charset w:val="00"/>
    <w:family w:val="swiss"/>
    <w:pitch w:val="default"/>
    <w:sig w:usb0="00000000" w:usb1="00000000" w:usb2="00000000" w:usb3="00000000" w:csb0="00000000" w:csb1="00000000"/>
  </w:font>
  <w:font w:name="黑体">
    <w:altName w:val="黑体-简"/>
    <w:panose1 w:val="02010600030101010101"/>
    <w:charset w:val="00"/>
    <w:family w:val="auto"/>
    <w:pitch w:val="default"/>
    <w:sig w:usb0="00000001" w:usb1="080E0000" w:usb2="00000010" w:usb3="00000000" w:csb0="00040000" w:csb1="00000000"/>
  </w:font>
  <w:font w:name="黑体-简">
    <w:panose1 w:val="02000000000000000000"/>
    <w:charset w:val="86"/>
    <w:family w:val="auto"/>
    <w:pitch w:val="default"/>
    <w:sig w:usb0="00000000" w:usb1="00000000" w:usb2="00000000" w:usb3="00000000" w:csb0="00160000" w:csb1="00000000"/>
  </w:font>
  <w:font w:name="Courier New">
    <w:panose1 w:val="02070309020205020404"/>
    <w:charset w:val="00"/>
    <w:family w:val="modern"/>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0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SimSun">
    <w:altName w:val="宋体-简"/>
    <w:panose1 w:val="02010600030101010101"/>
    <w:charset w:val="86"/>
    <w:family w:val="auto"/>
    <w:pitch w:val="default"/>
    <w:sig w:usb0="00000000" w:usb1="00000000" w:usb2="00000016" w:usb3="00000000" w:csb0="00040001" w:csb1="00000000"/>
  </w:font>
  <w:font w:name="Cambria">
    <w:altName w:val="苹方-简"/>
    <w:panose1 w:val="02040503050406030204"/>
    <w:charset w:val="00"/>
    <w:family w:val="roman"/>
    <w:pitch w:val="default"/>
    <w:sig w:usb0="00000000" w:usb1="00000000" w:usb2="00000000" w:usb3="00000000" w:csb0="0000019F" w:csb1="00000000"/>
  </w:font>
  <w:font w:name="苹方-简">
    <w:panose1 w:val="020B0400000000000000"/>
    <w:charset w:val="86"/>
    <w:family w:val="auto"/>
    <w:pitch w:val="default"/>
    <w:sig w:usb0="00000000" w:usb1="00000000" w:usb2="00000000" w:usb3="00000000" w:csb0="00160000" w:csb1="00000000"/>
  </w:font>
  <w:font w:name="ＭＳ ゴシック">
    <w:altName w:val="苹方-简"/>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00000000" w:usb1="00000000" w:usb2="00000000" w:usb3="00000000" w:csb0="00000000" w:csb1="00000000"/>
  </w:font>
  <w:font w:name="MS Gothic">
    <w:altName w:val="Hiragino Sans"/>
    <w:panose1 w:val="020B0609070205080204"/>
    <w:charset w:val="80"/>
    <w:family w:val="modern"/>
    <w:pitch w:val="default"/>
    <w:sig w:usb0="00000000" w:usb1="00000000" w:usb2="08000012" w:usb3="00000000" w:csb0="0002009F" w:csb1="00000000"/>
  </w:font>
  <w:font w:name="Hiragino Sans">
    <w:panose1 w:val="020B0300000000000000"/>
    <w:charset w:val="86"/>
    <w:family w:val="auto"/>
    <w:pitch w:val="default"/>
    <w:sig w:usb0="00000000" w:usb1="00000000" w:usb2="00000000" w:usb3="00000000" w:csb0="00160000" w:csb1="00000000"/>
  </w:font>
  <w:font w:name="Symbol">
    <w:altName w:val="Kingsoft Sign"/>
    <w:panose1 w:val="05050102010706020507"/>
    <w:charset w:val="02"/>
    <w:family w:val="decorative"/>
    <w:pitch w:val="default"/>
    <w:sig w:usb0="00000000" w:usb1="00000000" w:usb2="00000000" w:usb3="00000000" w:csb0="80000000" w:csb1="00000000"/>
  </w:font>
  <w:font w:name="Kingsoft Sign">
    <w:panose1 w:val="05050102010706020507"/>
    <w:charset w:val="00"/>
    <w:family w:val="auto"/>
    <w:pitch w:val="default"/>
    <w:sig w:usb0="00000000" w:usb1="00000000" w:usb2="00000000" w:usb3="00000000" w:csb0="00000000" w:csb1="00000000"/>
  </w:font>
  <w:font w:name="Wingdings">
    <w:panose1 w:val="05000000000000000000"/>
    <w:charset w:val="4D"/>
    <w:family w:val="decorative"/>
    <w:pitch w:val="default"/>
    <w:sig w:usb0="00000000" w:usb1="00000000" w:usb2="00000000" w:usb3="00000000" w:csb0="00000000" w:csb1="00000000"/>
  </w:font>
  <w:font w:name="Hiragino Sans GB">
    <w:panose1 w:val="020B0300000000000000"/>
    <w:charset w:val="86"/>
    <w:family w:val="auto"/>
    <w:pitch w:val="default"/>
    <w:sig w:usb0="00000000" w:usb1="00000000" w:usb2="00000000" w:usb3="00000000" w:csb0="0016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73265398"/>
      <w:docPartObj>
        <w:docPartGallery w:val="AutoText"/>
      </w:docPartObj>
    </w:sdtPr>
    <w:sdtContent>
      <w:p>
        <w:pPr>
          <w:pStyle w:val="12"/>
          <w:jc w:val="center"/>
        </w:pPr>
        <w:r>
          <w:fldChar w:fldCharType="begin"/>
        </w:r>
        <w:r>
          <w:instrText xml:space="preserve"> PAGE   \* MERGEFORMAT </w:instrText>
        </w:r>
        <w:r>
          <w:fldChar w:fldCharType="separate"/>
        </w:r>
        <w:r>
          <w:t>2</w:t>
        </w:r>
        <w:r>
          <w:fldChar w:fldCharType="end"/>
        </w:r>
      </w:p>
    </w:sdtContent>
  </w:sdt>
  <w:p>
    <w:pPr>
      <w:pStyle w:val="1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drawing>
        <wp:inline distT="0" distB="0" distL="0" distR="0">
          <wp:extent cx="1352550" cy="586105"/>
          <wp:effectExtent l="0" t="0" r="0" b="4445"/>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1364931" cy="592066"/>
                  </a:xfrm>
                  <a:prstGeom prst="rect">
                    <a:avLst/>
                  </a:prstGeom>
                  <a:noFill/>
                  <a:ln>
                    <a:noFill/>
                  </a:ln>
                </pic:spPr>
              </pic:pic>
            </a:graphicData>
          </a:graphic>
        </wp:inline>
      </w:drawing>
    </w:r>
  </w:p>
  <w:p>
    <w:pPr>
      <w:pStyle w:val="13"/>
    </w:pPr>
  </w:p>
  <w:p>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D0A4D4"/>
    <w:multiLevelType w:val="singleLevel"/>
    <w:tmpl w:val="83D0A4D4"/>
    <w:lvl w:ilvl="0" w:tentative="0">
      <w:start w:val="1"/>
      <w:numFmt w:val="decimal"/>
      <w:suff w:val="nothing"/>
      <w:lvlText w:val="%1-"/>
      <w:lvlJc w:val="left"/>
    </w:lvl>
  </w:abstractNum>
  <w:abstractNum w:abstractNumId="1">
    <w:nsid w:val="06B27C79"/>
    <w:multiLevelType w:val="multilevel"/>
    <w:tmpl w:val="06B27C79"/>
    <w:lvl w:ilvl="0" w:tentative="0">
      <w:start w:val="1"/>
      <w:numFmt w:val="lowerLetter"/>
      <w:lvlText w:val="%1)"/>
      <w:lvlJc w:val="left"/>
      <w:pPr>
        <w:ind w:left="1211" w:hanging="360"/>
      </w:pPr>
      <w:rPr>
        <w:rFonts w:hint="default" w:ascii="Times New Roman" w:hAnsi="Times New Roman" w:cs="Times New Roman"/>
      </w:rPr>
    </w:lvl>
    <w:lvl w:ilvl="1" w:tentative="0">
      <w:start w:val="1"/>
      <w:numFmt w:val="lowerLetter"/>
      <w:lvlText w:val="%2."/>
      <w:lvlJc w:val="left"/>
      <w:pPr>
        <w:ind w:left="1931" w:hanging="360"/>
      </w:pPr>
      <w:rPr>
        <w:rFonts w:hint="default" w:ascii="Times New Roman" w:hAnsi="Times New Roman" w:cs="Times New Roman"/>
      </w:rPr>
    </w:lvl>
    <w:lvl w:ilvl="2" w:tentative="0">
      <w:start w:val="1"/>
      <w:numFmt w:val="lowerRoman"/>
      <w:lvlText w:val="%3."/>
      <w:lvlJc w:val="right"/>
      <w:pPr>
        <w:ind w:left="2651" w:hanging="180"/>
      </w:pPr>
      <w:rPr>
        <w:rFonts w:hint="default" w:ascii="Times New Roman" w:hAnsi="Times New Roman" w:cs="Times New Roman"/>
      </w:rPr>
    </w:lvl>
    <w:lvl w:ilvl="3" w:tentative="0">
      <w:start w:val="1"/>
      <w:numFmt w:val="decimal"/>
      <w:lvlText w:val="%4."/>
      <w:lvlJc w:val="left"/>
      <w:pPr>
        <w:ind w:left="3371" w:hanging="360"/>
      </w:pPr>
      <w:rPr>
        <w:rFonts w:hint="default" w:ascii="Times New Roman" w:hAnsi="Times New Roman" w:cs="Times New Roman"/>
      </w:rPr>
    </w:lvl>
    <w:lvl w:ilvl="4" w:tentative="0">
      <w:start w:val="1"/>
      <w:numFmt w:val="lowerLetter"/>
      <w:lvlText w:val="%5."/>
      <w:lvlJc w:val="left"/>
      <w:pPr>
        <w:ind w:left="4091" w:hanging="360"/>
      </w:pPr>
      <w:rPr>
        <w:rFonts w:hint="default" w:ascii="Times New Roman" w:hAnsi="Times New Roman" w:cs="Times New Roman"/>
      </w:rPr>
    </w:lvl>
    <w:lvl w:ilvl="5" w:tentative="0">
      <w:start w:val="1"/>
      <w:numFmt w:val="lowerRoman"/>
      <w:lvlText w:val="%6."/>
      <w:lvlJc w:val="right"/>
      <w:pPr>
        <w:ind w:left="4811" w:hanging="180"/>
      </w:pPr>
      <w:rPr>
        <w:rFonts w:hint="default" w:ascii="Times New Roman" w:hAnsi="Times New Roman" w:cs="Times New Roman"/>
      </w:rPr>
    </w:lvl>
    <w:lvl w:ilvl="6" w:tentative="0">
      <w:start w:val="1"/>
      <w:numFmt w:val="decimal"/>
      <w:lvlText w:val="%7."/>
      <w:lvlJc w:val="left"/>
      <w:pPr>
        <w:ind w:left="5531" w:hanging="360"/>
      </w:pPr>
      <w:rPr>
        <w:rFonts w:hint="default" w:ascii="Times New Roman" w:hAnsi="Times New Roman" w:cs="Times New Roman"/>
      </w:rPr>
    </w:lvl>
    <w:lvl w:ilvl="7" w:tentative="0">
      <w:start w:val="1"/>
      <w:numFmt w:val="lowerLetter"/>
      <w:lvlText w:val="%8."/>
      <w:lvlJc w:val="left"/>
      <w:pPr>
        <w:ind w:left="6251" w:hanging="360"/>
      </w:pPr>
      <w:rPr>
        <w:rFonts w:hint="default" w:ascii="Times New Roman" w:hAnsi="Times New Roman" w:cs="Times New Roman"/>
      </w:rPr>
    </w:lvl>
    <w:lvl w:ilvl="8" w:tentative="0">
      <w:start w:val="1"/>
      <w:numFmt w:val="lowerRoman"/>
      <w:lvlText w:val="%9."/>
      <w:lvlJc w:val="right"/>
      <w:pPr>
        <w:ind w:left="6971" w:hanging="180"/>
      </w:pPr>
      <w:rPr>
        <w:rFonts w:hint="default" w:ascii="Times New Roman" w:hAnsi="Times New Roman" w:cs="Times New Roman"/>
      </w:rPr>
    </w:lvl>
  </w:abstractNum>
  <w:abstractNum w:abstractNumId="2">
    <w:nsid w:val="0BAA3892"/>
    <w:multiLevelType w:val="multilevel"/>
    <w:tmpl w:val="0BAA3892"/>
    <w:lvl w:ilvl="0" w:tentative="0">
      <w:start w:val="1"/>
      <w:numFmt w:val="decimal"/>
      <w:lvlText w:val="%1."/>
      <w:lvlJc w:val="left"/>
      <w:pPr>
        <w:ind w:left="720" w:hanging="360"/>
      </w:pPr>
      <w:rPr>
        <w:rFonts w:hint="default" w:ascii="Times New Roman" w:hAnsi="Times New Roman" w:cs="Times New Roman"/>
      </w:rPr>
    </w:lvl>
    <w:lvl w:ilvl="1" w:tentative="0">
      <w:start w:val="1"/>
      <w:numFmt w:val="lowerLetter"/>
      <w:lvlText w:val="%2."/>
      <w:lvlJc w:val="left"/>
      <w:pPr>
        <w:ind w:left="1440" w:hanging="360"/>
      </w:pPr>
      <w:rPr>
        <w:rFonts w:hint="default" w:ascii="Times New Roman" w:hAnsi="Times New Roman" w:cs="Times New Roman"/>
      </w:rPr>
    </w:lvl>
    <w:lvl w:ilvl="2" w:tentative="0">
      <w:start w:val="1"/>
      <w:numFmt w:val="lowerRoman"/>
      <w:lvlText w:val="%3."/>
      <w:lvlJc w:val="right"/>
      <w:pPr>
        <w:ind w:left="2160" w:hanging="180"/>
      </w:pPr>
      <w:rPr>
        <w:rFonts w:hint="default" w:ascii="Times New Roman" w:hAnsi="Times New Roman" w:cs="Times New Roman"/>
      </w:rPr>
    </w:lvl>
    <w:lvl w:ilvl="3" w:tentative="0">
      <w:start w:val="1"/>
      <w:numFmt w:val="decimal"/>
      <w:lvlText w:val="%4."/>
      <w:lvlJc w:val="left"/>
      <w:pPr>
        <w:ind w:left="2880" w:hanging="360"/>
      </w:pPr>
      <w:rPr>
        <w:rFonts w:hint="default" w:ascii="Times New Roman" w:hAnsi="Times New Roman" w:cs="Times New Roman"/>
      </w:rPr>
    </w:lvl>
    <w:lvl w:ilvl="4" w:tentative="0">
      <w:start w:val="1"/>
      <w:numFmt w:val="lowerLetter"/>
      <w:lvlText w:val="%5."/>
      <w:lvlJc w:val="left"/>
      <w:pPr>
        <w:ind w:left="3600" w:hanging="360"/>
      </w:pPr>
      <w:rPr>
        <w:rFonts w:hint="default" w:ascii="Times New Roman" w:hAnsi="Times New Roman" w:cs="Times New Roman"/>
      </w:rPr>
    </w:lvl>
    <w:lvl w:ilvl="5" w:tentative="0">
      <w:start w:val="1"/>
      <w:numFmt w:val="lowerRoman"/>
      <w:lvlText w:val="%6."/>
      <w:lvlJc w:val="right"/>
      <w:pPr>
        <w:ind w:left="4320" w:hanging="180"/>
      </w:pPr>
      <w:rPr>
        <w:rFonts w:hint="default" w:ascii="Times New Roman" w:hAnsi="Times New Roman" w:cs="Times New Roman"/>
      </w:rPr>
    </w:lvl>
    <w:lvl w:ilvl="6" w:tentative="0">
      <w:start w:val="1"/>
      <w:numFmt w:val="decimal"/>
      <w:lvlText w:val="%7."/>
      <w:lvlJc w:val="left"/>
      <w:pPr>
        <w:ind w:left="5040" w:hanging="360"/>
      </w:pPr>
      <w:rPr>
        <w:rFonts w:hint="default" w:ascii="Times New Roman" w:hAnsi="Times New Roman" w:cs="Times New Roman"/>
      </w:rPr>
    </w:lvl>
    <w:lvl w:ilvl="7" w:tentative="0">
      <w:start w:val="1"/>
      <w:numFmt w:val="lowerLetter"/>
      <w:lvlText w:val="%8."/>
      <w:lvlJc w:val="left"/>
      <w:pPr>
        <w:ind w:left="5760" w:hanging="360"/>
      </w:pPr>
      <w:rPr>
        <w:rFonts w:hint="default" w:ascii="Times New Roman" w:hAnsi="Times New Roman" w:cs="Times New Roman"/>
      </w:rPr>
    </w:lvl>
    <w:lvl w:ilvl="8" w:tentative="0">
      <w:start w:val="1"/>
      <w:numFmt w:val="lowerRoman"/>
      <w:lvlText w:val="%9."/>
      <w:lvlJc w:val="right"/>
      <w:pPr>
        <w:ind w:left="6480" w:hanging="180"/>
      </w:pPr>
      <w:rPr>
        <w:rFonts w:hint="default" w:ascii="Times New Roman" w:hAnsi="Times New Roman" w:cs="Times New Roman"/>
      </w:rPr>
    </w:lvl>
  </w:abstractNum>
  <w:abstractNum w:abstractNumId="3">
    <w:nsid w:val="10561EA9"/>
    <w:multiLevelType w:val="singleLevel"/>
    <w:tmpl w:val="10561EA9"/>
    <w:lvl w:ilvl="0" w:tentative="0">
      <w:start w:val="1"/>
      <w:numFmt w:val="decimal"/>
      <w:suff w:val="nothing"/>
      <w:lvlText w:val="%1-"/>
      <w:lvlJc w:val="left"/>
    </w:lvl>
  </w:abstractNum>
  <w:abstractNum w:abstractNumId="4">
    <w:nsid w:val="5778545C"/>
    <w:multiLevelType w:val="multilevel"/>
    <w:tmpl w:val="5778545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61845D96"/>
    <w:multiLevelType w:val="multilevel"/>
    <w:tmpl w:val="61845D96"/>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7544755D"/>
    <w:multiLevelType w:val="multilevel"/>
    <w:tmpl w:val="7544755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7F7D2FCB"/>
    <w:multiLevelType w:val="multilevel"/>
    <w:tmpl w:val="7F7D2FC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5"/>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4"/>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documentProtection w:enforcement="0"/>
  <w:defaultTabStop w:val="851"/>
  <w:characterSpacingControl w:val="doNotCompress"/>
  <w:footnotePr>
    <w:footnote w:id="0"/>
    <w:footnote w:id="1"/>
  </w:footnotePr>
  <w:endnotePr>
    <w:endnote w:id="0"/>
    <w:endnote w:id="1"/>
  </w:endnotePr>
  <w:compat>
    <w:compatSetting w:name="compatibilityMode" w:uri="http://schemas.microsoft.com/office/word" w:val="12"/>
  </w:compat>
  <w:docVars>
    <w:docVar w:name="dgnword-docGUID" w:val="{9AB15FED-F491-4734-8C96-E789C88730BD}"/>
    <w:docVar w:name="dgnword-eventsink" w:val="36724144"/>
  </w:docVars>
  <w:rsids>
    <w:rsidRoot w:val="00172A27"/>
    <w:rsid w:val="000048FF"/>
    <w:rsid w:val="00007530"/>
    <w:rsid w:val="00007691"/>
    <w:rsid w:val="000105F4"/>
    <w:rsid w:val="000123D7"/>
    <w:rsid w:val="000128A6"/>
    <w:rsid w:val="000165C5"/>
    <w:rsid w:val="00016FBC"/>
    <w:rsid w:val="00021626"/>
    <w:rsid w:val="000277FB"/>
    <w:rsid w:val="0003050C"/>
    <w:rsid w:val="000326C0"/>
    <w:rsid w:val="00033D45"/>
    <w:rsid w:val="000366F8"/>
    <w:rsid w:val="00041113"/>
    <w:rsid w:val="00041292"/>
    <w:rsid w:val="0004184C"/>
    <w:rsid w:val="00041B53"/>
    <w:rsid w:val="000420D2"/>
    <w:rsid w:val="00050DA9"/>
    <w:rsid w:val="000521C0"/>
    <w:rsid w:val="000541A8"/>
    <w:rsid w:val="00055909"/>
    <w:rsid w:val="00057B58"/>
    <w:rsid w:val="00072B04"/>
    <w:rsid w:val="00073448"/>
    <w:rsid w:val="0007446C"/>
    <w:rsid w:val="000752B4"/>
    <w:rsid w:val="0007631C"/>
    <w:rsid w:val="00080172"/>
    <w:rsid w:val="00081862"/>
    <w:rsid w:val="00083229"/>
    <w:rsid w:val="00086800"/>
    <w:rsid w:val="0008764D"/>
    <w:rsid w:val="00091176"/>
    <w:rsid w:val="0009178A"/>
    <w:rsid w:val="000926DB"/>
    <w:rsid w:val="00094129"/>
    <w:rsid w:val="00095109"/>
    <w:rsid w:val="000A0273"/>
    <w:rsid w:val="000A4105"/>
    <w:rsid w:val="000A43F6"/>
    <w:rsid w:val="000A5AD6"/>
    <w:rsid w:val="000A5B36"/>
    <w:rsid w:val="000A6C91"/>
    <w:rsid w:val="000A767E"/>
    <w:rsid w:val="000B0A3E"/>
    <w:rsid w:val="000B1B49"/>
    <w:rsid w:val="000B213A"/>
    <w:rsid w:val="000B49DB"/>
    <w:rsid w:val="000B694F"/>
    <w:rsid w:val="000C25DB"/>
    <w:rsid w:val="000C381E"/>
    <w:rsid w:val="000C5B3A"/>
    <w:rsid w:val="000C5E69"/>
    <w:rsid w:val="000D387D"/>
    <w:rsid w:val="000D4354"/>
    <w:rsid w:val="000D6C67"/>
    <w:rsid w:val="000E09A3"/>
    <w:rsid w:val="000E4CF7"/>
    <w:rsid w:val="000E63B2"/>
    <w:rsid w:val="000F4427"/>
    <w:rsid w:val="001008A5"/>
    <w:rsid w:val="00101347"/>
    <w:rsid w:val="00101521"/>
    <w:rsid w:val="00111BB2"/>
    <w:rsid w:val="001126DB"/>
    <w:rsid w:val="00113AF5"/>
    <w:rsid w:val="00113EB8"/>
    <w:rsid w:val="00117E7D"/>
    <w:rsid w:val="00121FAE"/>
    <w:rsid w:val="00121FED"/>
    <w:rsid w:val="00123B03"/>
    <w:rsid w:val="00130878"/>
    <w:rsid w:val="001327D6"/>
    <w:rsid w:val="001345D9"/>
    <w:rsid w:val="00136E89"/>
    <w:rsid w:val="00142FF3"/>
    <w:rsid w:val="00144B62"/>
    <w:rsid w:val="00153C55"/>
    <w:rsid w:val="001568A9"/>
    <w:rsid w:val="001613F1"/>
    <w:rsid w:val="001619C6"/>
    <w:rsid w:val="0016239F"/>
    <w:rsid w:val="001642A9"/>
    <w:rsid w:val="00166BD1"/>
    <w:rsid w:val="001670D0"/>
    <w:rsid w:val="00167827"/>
    <w:rsid w:val="001725B4"/>
    <w:rsid w:val="00172A27"/>
    <w:rsid w:val="001744BD"/>
    <w:rsid w:val="00174DED"/>
    <w:rsid w:val="001773C8"/>
    <w:rsid w:val="00186168"/>
    <w:rsid w:val="0019780F"/>
    <w:rsid w:val="001A3E5D"/>
    <w:rsid w:val="001A686B"/>
    <w:rsid w:val="001B1DE0"/>
    <w:rsid w:val="001B2859"/>
    <w:rsid w:val="001B316F"/>
    <w:rsid w:val="001B70DD"/>
    <w:rsid w:val="001C1CD9"/>
    <w:rsid w:val="001C7313"/>
    <w:rsid w:val="001D1917"/>
    <w:rsid w:val="001D1BE8"/>
    <w:rsid w:val="001D3A71"/>
    <w:rsid w:val="001D476F"/>
    <w:rsid w:val="001D4CCD"/>
    <w:rsid w:val="001D5F47"/>
    <w:rsid w:val="001E0CA5"/>
    <w:rsid w:val="001E157F"/>
    <w:rsid w:val="001E2785"/>
    <w:rsid w:val="001E3571"/>
    <w:rsid w:val="001E4A2B"/>
    <w:rsid w:val="001E76BF"/>
    <w:rsid w:val="001E7AAE"/>
    <w:rsid w:val="001F0BA0"/>
    <w:rsid w:val="001F2027"/>
    <w:rsid w:val="001F473F"/>
    <w:rsid w:val="001F7F17"/>
    <w:rsid w:val="00201717"/>
    <w:rsid w:val="002061C7"/>
    <w:rsid w:val="00210236"/>
    <w:rsid w:val="002108CA"/>
    <w:rsid w:val="00212FEA"/>
    <w:rsid w:val="00214870"/>
    <w:rsid w:val="0022094E"/>
    <w:rsid w:val="00220D22"/>
    <w:rsid w:val="002210A7"/>
    <w:rsid w:val="00223AB1"/>
    <w:rsid w:val="00225408"/>
    <w:rsid w:val="00235E1E"/>
    <w:rsid w:val="002362FD"/>
    <w:rsid w:val="002373FA"/>
    <w:rsid w:val="002375DD"/>
    <w:rsid w:val="002456B6"/>
    <w:rsid w:val="00247D89"/>
    <w:rsid w:val="0025394C"/>
    <w:rsid w:val="0025551E"/>
    <w:rsid w:val="0025704B"/>
    <w:rsid w:val="00260590"/>
    <w:rsid w:val="00264E7C"/>
    <w:rsid w:val="002701CF"/>
    <w:rsid w:val="0027596C"/>
    <w:rsid w:val="00275E8D"/>
    <w:rsid w:val="00283752"/>
    <w:rsid w:val="002837B5"/>
    <w:rsid w:val="00284615"/>
    <w:rsid w:val="00290A13"/>
    <w:rsid w:val="0029199C"/>
    <w:rsid w:val="0029434B"/>
    <w:rsid w:val="00296040"/>
    <w:rsid w:val="00296587"/>
    <w:rsid w:val="00297F6D"/>
    <w:rsid w:val="002A7473"/>
    <w:rsid w:val="002B1D87"/>
    <w:rsid w:val="002B252E"/>
    <w:rsid w:val="002B4A09"/>
    <w:rsid w:val="002B4CE9"/>
    <w:rsid w:val="002B6E41"/>
    <w:rsid w:val="002C1887"/>
    <w:rsid w:val="002C1E6F"/>
    <w:rsid w:val="002D46CE"/>
    <w:rsid w:val="002D63BD"/>
    <w:rsid w:val="002E0854"/>
    <w:rsid w:val="002E1FE0"/>
    <w:rsid w:val="002E35FA"/>
    <w:rsid w:val="002E38DE"/>
    <w:rsid w:val="002E608A"/>
    <w:rsid w:val="002F064A"/>
    <w:rsid w:val="002F0D29"/>
    <w:rsid w:val="002F1788"/>
    <w:rsid w:val="0030159A"/>
    <w:rsid w:val="00301A67"/>
    <w:rsid w:val="00302E7E"/>
    <w:rsid w:val="00304E2B"/>
    <w:rsid w:val="00307CC5"/>
    <w:rsid w:val="00311DBC"/>
    <w:rsid w:val="003125AF"/>
    <w:rsid w:val="0032238B"/>
    <w:rsid w:val="00323EB5"/>
    <w:rsid w:val="00325D89"/>
    <w:rsid w:val="003265BA"/>
    <w:rsid w:val="00330082"/>
    <w:rsid w:val="003314BD"/>
    <w:rsid w:val="003326F8"/>
    <w:rsid w:val="0033400A"/>
    <w:rsid w:val="0033742E"/>
    <w:rsid w:val="003402F0"/>
    <w:rsid w:val="00340A23"/>
    <w:rsid w:val="00341F75"/>
    <w:rsid w:val="0034282D"/>
    <w:rsid w:val="00351776"/>
    <w:rsid w:val="00355466"/>
    <w:rsid w:val="003575D0"/>
    <w:rsid w:val="00363161"/>
    <w:rsid w:val="00364BB7"/>
    <w:rsid w:val="003671E3"/>
    <w:rsid w:val="00371747"/>
    <w:rsid w:val="003756F7"/>
    <w:rsid w:val="00377266"/>
    <w:rsid w:val="003822B5"/>
    <w:rsid w:val="00386152"/>
    <w:rsid w:val="00393019"/>
    <w:rsid w:val="00393E7A"/>
    <w:rsid w:val="00395B22"/>
    <w:rsid w:val="003969E1"/>
    <w:rsid w:val="00396FF4"/>
    <w:rsid w:val="00397441"/>
    <w:rsid w:val="00397CC9"/>
    <w:rsid w:val="003A71CB"/>
    <w:rsid w:val="003B09BD"/>
    <w:rsid w:val="003B4478"/>
    <w:rsid w:val="003B560F"/>
    <w:rsid w:val="003C0ADD"/>
    <w:rsid w:val="003C2846"/>
    <w:rsid w:val="003C6307"/>
    <w:rsid w:val="003C6E4F"/>
    <w:rsid w:val="003C7BD5"/>
    <w:rsid w:val="003E02BE"/>
    <w:rsid w:val="003E192F"/>
    <w:rsid w:val="003E2B7B"/>
    <w:rsid w:val="003F47EC"/>
    <w:rsid w:val="003F6C78"/>
    <w:rsid w:val="003F753F"/>
    <w:rsid w:val="004032C1"/>
    <w:rsid w:val="004074AF"/>
    <w:rsid w:val="004132BE"/>
    <w:rsid w:val="004138FC"/>
    <w:rsid w:val="00417881"/>
    <w:rsid w:val="00421EAD"/>
    <w:rsid w:val="004225A4"/>
    <w:rsid w:val="0042634B"/>
    <w:rsid w:val="00426C0C"/>
    <w:rsid w:val="00427072"/>
    <w:rsid w:val="00427FE9"/>
    <w:rsid w:val="00432F76"/>
    <w:rsid w:val="00432FC5"/>
    <w:rsid w:val="0043600F"/>
    <w:rsid w:val="0043715A"/>
    <w:rsid w:val="00440E7B"/>
    <w:rsid w:val="00443424"/>
    <w:rsid w:val="00444D78"/>
    <w:rsid w:val="004477D8"/>
    <w:rsid w:val="004608FD"/>
    <w:rsid w:val="004626D8"/>
    <w:rsid w:val="00462807"/>
    <w:rsid w:val="0046537E"/>
    <w:rsid w:val="00465D84"/>
    <w:rsid w:val="00470E37"/>
    <w:rsid w:val="004718BD"/>
    <w:rsid w:val="00476F54"/>
    <w:rsid w:val="004901E0"/>
    <w:rsid w:val="00491D3F"/>
    <w:rsid w:val="004944A5"/>
    <w:rsid w:val="00494A68"/>
    <w:rsid w:val="00495B7C"/>
    <w:rsid w:val="00496A2B"/>
    <w:rsid w:val="004975A3"/>
    <w:rsid w:val="004A279B"/>
    <w:rsid w:val="004B1298"/>
    <w:rsid w:val="004B1C65"/>
    <w:rsid w:val="004B545D"/>
    <w:rsid w:val="004B665E"/>
    <w:rsid w:val="004C04D2"/>
    <w:rsid w:val="004C1202"/>
    <w:rsid w:val="004C4B1E"/>
    <w:rsid w:val="004D2526"/>
    <w:rsid w:val="004D4969"/>
    <w:rsid w:val="004D5290"/>
    <w:rsid w:val="004E1D99"/>
    <w:rsid w:val="004E4C40"/>
    <w:rsid w:val="004E4FF8"/>
    <w:rsid w:val="004E6DE6"/>
    <w:rsid w:val="004E7187"/>
    <w:rsid w:val="004E7ED9"/>
    <w:rsid w:val="004F5384"/>
    <w:rsid w:val="004F6755"/>
    <w:rsid w:val="004F7A0C"/>
    <w:rsid w:val="00501070"/>
    <w:rsid w:val="005011A8"/>
    <w:rsid w:val="00502200"/>
    <w:rsid w:val="00502A90"/>
    <w:rsid w:val="00504F0A"/>
    <w:rsid w:val="0051187D"/>
    <w:rsid w:val="005171C9"/>
    <w:rsid w:val="00517F9D"/>
    <w:rsid w:val="005213D3"/>
    <w:rsid w:val="00525B42"/>
    <w:rsid w:val="0052798A"/>
    <w:rsid w:val="0053196E"/>
    <w:rsid w:val="005368C0"/>
    <w:rsid w:val="00537778"/>
    <w:rsid w:val="00537A25"/>
    <w:rsid w:val="00541183"/>
    <w:rsid w:val="005433A2"/>
    <w:rsid w:val="00554E9A"/>
    <w:rsid w:val="00554FA2"/>
    <w:rsid w:val="0055565B"/>
    <w:rsid w:val="00560876"/>
    <w:rsid w:val="00561150"/>
    <w:rsid w:val="0056616A"/>
    <w:rsid w:val="0056718E"/>
    <w:rsid w:val="005723C9"/>
    <w:rsid w:val="00572F2F"/>
    <w:rsid w:val="00573B8B"/>
    <w:rsid w:val="005753BF"/>
    <w:rsid w:val="00576237"/>
    <w:rsid w:val="0057641E"/>
    <w:rsid w:val="00584088"/>
    <w:rsid w:val="00590884"/>
    <w:rsid w:val="0059378C"/>
    <w:rsid w:val="005A0F83"/>
    <w:rsid w:val="005A4E02"/>
    <w:rsid w:val="005B2755"/>
    <w:rsid w:val="005B347E"/>
    <w:rsid w:val="005B6C8B"/>
    <w:rsid w:val="005C73EB"/>
    <w:rsid w:val="005D0348"/>
    <w:rsid w:val="005D455C"/>
    <w:rsid w:val="005D5486"/>
    <w:rsid w:val="005E1A2C"/>
    <w:rsid w:val="005E1B75"/>
    <w:rsid w:val="005E2A43"/>
    <w:rsid w:val="005F29A0"/>
    <w:rsid w:val="005F36A5"/>
    <w:rsid w:val="005F4E23"/>
    <w:rsid w:val="005F671A"/>
    <w:rsid w:val="005F7B06"/>
    <w:rsid w:val="006038CE"/>
    <w:rsid w:val="00612F14"/>
    <w:rsid w:val="00613BA5"/>
    <w:rsid w:val="0062550E"/>
    <w:rsid w:val="00634BD0"/>
    <w:rsid w:val="00634DFF"/>
    <w:rsid w:val="00641AE6"/>
    <w:rsid w:val="00643CBB"/>
    <w:rsid w:val="00657549"/>
    <w:rsid w:val="00660F37"/>
    <w:rsid w:val="00661D6C"/>
    <w:rsid w:val="00665D63"/>
    <w:rsid w:val="00666EC5"/>
    <w:rsid w:val="00667533"/>
    <w:rsid w:val="00667BA7"/>
    <w:rsid w:val="00667CDF"/>
    <w:rsid w:val="00675965"/>
    <w:rsid w:val="00676971"/>
    <w:rsid w:val="00683A68"/>
    <w:rsid w:val="00685185"/>
    <w:rsid w:val="006860E0"/>
    <w:rsid w:val="00692F72"/>
    <w:rsid w:val="00695CB1"/>
    <w:rsid w:val="006A0431"/>
    <w:rsid w:val="006A308B"/>
    <w:rsid w:val="006A4F7A"/>
    <w:rsid w:val="006A4FF8"/>
    <w:rsid w:val="006A6EA4"/>
    <w:rsid w:val="006B08CF"/>
    <w:rsid w:val="006B2D47"/>
    <w:rsid w:val="006B4282"/>
    <w:rsid w:val="006B429A"/>
    <w:rsid w:val="006B60BD"/>
    <w:rsid w:val="006C25D4"/>
    <w:rsid w:val="006C314C"/>
    <w:rsid w:val="006C40FD"/>
    <w:rsid w:val="006D4C96"/>
    <w:rsid w:val="006D7B0F"/>
    <w:rsid w:val="006E010B"/>
    <w:rsid w:val="006E0B42"/>
    <w:rsid w:val="006E1E6C"/>
    <w:rsid w:val="006E2BB7"/>
    <w:rsid w:val="006E35A0"/>
    <w:rsid w:val="006E56BB"/>
    <w:rsid w:val="006E6A62"/>
    <w:rsid w:val="006E6AFA"/>
    <w:rsid w:val="006E7DDF"/>
    <w:rsid w:val="006F07FE"/>
    <w:rsid w:val="006F4BF3"/>
    <w:rsid w:val="006F6D7A"/>
    <w:rsid w:val="0070179F"/>
    <w:rsid w:val="00702C87"/>
    <w:rsid w:val="00710C4C"/>
    <w:rsid w:val="00716757"/>
    <w:rsid w:val="007239C7"/>
    <w:rsid w:val="00725BF4"/>
    <w:rsid w:val="00732DF0"/>
    <w:rsid w:val="0073399F"/>
    <w:rsid w:val="00733A4E"/>
    <w:rsid w:val="007367A1"/>
    <w:rsid w:val="00737CC6"/>
    <w:rsid w:val="007459A9"/>
    <w:rsid w:val="00751199"/>
    <w:rsid w:val="00761E5E"/>
    <w:rsid w:val="007628A8"/>
    <w:rsid w:val="00764839"/>
    <w:rsid w:val="00764DC6"/>
    <w:rsid w:val="00770887"/>
    <w:rsid w:val="00772E5D"/>
    <w:rsid w:val="00774A08"/>
    <w:rsid w:val="007753B5"/>
    <w:rsid w:val="00784A7A"/>
    <w:rsid w:val="00784EEF"/>
    <w:rsid w:val="00787306"/>
    <w:rsid w:val="00787D18"/>
    <w:rsid w:val="0079065B"/>
    <w:rsid w:val="00791505"/>
    <w:rsid w:val="00793AB5"/>
    <w:rsid w:val="00794031"/>
    <w:rsid w:val="007A173A"/>
    <w:rsid w:val="007A1757"/>
    <w:rsid w:val="007A4FD7"/>
    <w:rsid w:val="007A50BB"/>
    <w:rsid w:val="007B0EE8"/>
    <w:rsid w:val="007B6A5C"/>
    <w:rsid w:val="007D1BA5"/>
    <w:rsid w:val="007D254E"/>
    <w:rsid w:val="007D6443"/>
    <w:rsid w:val="007D68E8"/>
    <w:rsid w:val="007E200E"/>
    <w:rsid w:val="007E5F82"/>
    <w:rsid w:val="007E69A8"/>
    <w:rsid w:val="007E71A7"/>
    <w:rsid w:val="007F6B63"/>
    <w:rsid w:val="007F6E8B"/>
    <w:rsid w:val="007F727D"/>
    <w:rsid w:val="007F771B"/>
    <w:rsid w:val="00801BCB"/>
    <w:rsid w:val="00801ECC"/>
    <w:rsid w:val="00802DCE"/>
    <w:rsid w:val="008046D1"/>
    <w:rsid w:val="0081455F"/>
    <w:rsid w:val="00815D49"/>
    <w:rsid w:val="00822614"/>
    <w:rsid w:val="00823416"/>
    <w:rsid w:val="00832B80"/>
    <w:rsid w:val="00832F2D"/>
    <w:rsid w:val="00834814"/>
    <w:rsid w:val="008371C2"/>
    <w:rsid w:val="008377DC"/>
    <w:rsid w:val="00840166"/>
    <w:rsid w:val="00840D34"/>
    <w:rsid w:val="00841A6E"/>
    <w:rsid w:val="00841B99"/>
    <w:rsid w:val="0084499E"/>
    <w:rsid w:val="00847392"/>
    <w:rsid w:val="008520E7"/>
    <w:rsid w:val="0085394C"/>
    <w:rsid w:val="00856C84"/>
    <w:rsid w:val="00857283"/>
    <w:rsid w:val="00862D96"/>
    <w:rsid w:val="008658B8"/>
    <w:rsid w:val="00872498"/>
    <w:rsid w:val="00873B04"/>
    <w:rsid w:val="00874E48"/>
    <w:rsid w:val="00876D5C"/>
    <w:rsid w:val="008820F7"/>
    <w:rsid w:val="00886AEE"/>
    <w:rsid w:val="00887D70"/>
    <w:rsid w:val="0089525F"/>
    <w:rsid w:val="008954EB"/>
    <w:rsid w:val="00897BEB"/>
    <w:rsid w:val="008A1350"/>
    <w:rsid w:val="008A1643"/>
    <w:rsid w:val="008B00D6"/>
    <w:rsid w:val="008B1201"/>
    <w:rsid w:val="008B2878"/>
    <w:rsid w:val="008B3AE1"/>
    <w:rsid w:val="008B4C84"/>
    <w:rsid w:val="008B7CB9"/>
    <w:rsid w:val="008C6D5A"/>
    <w:rsid w:val="008D12AB"/>
    <w:rsid w:val="008E007F"/>
    <w:rsid w:val="008E096E"/>
    <w:rsid w:val="008E0FE2"/>
    <w:rsid w:val="008E1A32"/>
    <w:rsid w:val="008E792C"/>
    <w:rsid w:val="008F05A5"/>
    <w:rsid w:val="008F4C38"/>
    <w:rsid w:val="00901AE6"/>
    <w:rsid w:val="00902CCE"/>
    <w:rsid w:val="00907BA9"/>
    <w:rsid w:val="00910FB7"/>
    <w:rsid w:val="009155E4"/>
    <w:rsid w:val="00916636"/>
    <w:rsid w:val="00920BC9"/>
    <w:rsid w:val="00930F4E"/>
    <w:rsid w:val="009368BB"/>
    <w:rsid w:val="0095233E"/>
    <w:rsid w:val="00954B2A"/>
    <w:rsid w:val="00954BB7"/>
    <w:rsid w:val="00961819"/>
    <w:rsid w:val="0097019A"/>
    <w:rsid w:val="009714B2"/>
    <w:rsid w:val="00971C33"/>
    <w:rsid w:val="00973FDE"/>
    <w:rsid w:val="00975C69"/>
    <w:rsid w:val="009774AE"/>
    <w:rsid w:val="009806DA"/>
    <w:rsid w:val="009853A3"/>
    <w:rsid w:val="00990B0F"/>
    <w:rsid w:val="0099176F"/>
    <w:rsid w:val="009955A2"/>
    <w:rsid w:val="00996049"/>
    <w:rsid w:val="00996BFC"/>
    <w:rsid w:val="009A0267"/>
    <w:rsid w:val="009A4062"/>
    <w:rsid w:val="009A5173"/>
    <w:rsid w:val="009A584A"/>
    <w:rsid w:val="009A6306"/>
    <w:rsid w:val="009A6343"/>
    <w:rsid w:val="009B51DC"/>
    <w:rsid w:val="009C011D"/>
    <w:rsid w:val="009C13CA"/>
    <w:rsid w:val="009C1F95"/>
    <w:rsid w:val="009C60A1"/>
    <w:rsid w:val="009C60CC"/>
    <w:rsid w:val="009D59C3"/>
    <w:rsid w:val="009E1663"/>
    <w:rsid w:val="009E31BE"/>
    <w:rsid w:val="009E535D"/>
    <w:rsid w:val="009F0428"/>
    <w:rsid w:val="009F32CA"/>
    <w:rsid w:val="009F48B7"/>
    <w:rsid w:val="009F4973"/>
    <w:rsid w:val="00A018DD"/>
    <w:rsid w:val="00A025D0"/>
    <w:rsid w:val="00A0774B"/>
    <w:rsid w:val="00A1296D"/>
    <w:rsid w:val="00A13DEB"/>
    <w:rsid w:val="00A16115"/>
    <w:rsid w:val="00A21FEB"/>
    <w:rsid w:val="00A27435"/>
    <w:rsid w:val="00A31D34"/>
    <w:rsid w:val="00A335FD"/>
    <w:rsid w:val="00A34610"/>
    <w:rsid w:val="00A41312"/>
    <w:rsid w:val="00A41E31"/>
    <w:rsid w:val="00A420F6"/>
    <w:rsid w:val="00A426D1"/>
    <w:rsid w:val="00A43224"/>
    <w:rsid w:val="00A44792"/>
    <w:rsid w:val="00A50D52"/>
    <w:rsid w:val="00A5356B"/>
    <w:rsid w:val="00A5580C"/>
    <w:rsid w:val="00A55980"/>
    <w:rsid w:val="00A60BAA"/>
    <w:rsid w:val="00A616D0"/>
    <w:rsid w:val="00A6360B"/>
    <w:rsid w:val="00A636DB"/>
    <w:rsid w:val="00A6425A"/>
    <w:rsid w:val="00A659F7"/>
    <w:rsid w:val="00A66655"/>
    <w:rsid w:val="00A708AD"/>
    <w:rsid w:val="00A71F91"/>
    <w:rsid w:val="00A7313C"/>
    <w:rsid w:val="00A766AD"/>
    <w:rsid w:val="00A82AC5"/>
    <w:rsid w:val="00A848C2"/>
    <w:rsid w:val="00A8531A"/>
    <w:rsid w:val="00A87B45"/>
    <w:rsid w:val="00A90C12"/>
    <w:rsid w:val="00A943C2"/>
    <w:rsid w:val="00AA07F9"/>
    <w:rsid w:val="00AB0977"/>
    <w:rsid w:val="00AC2491"/>
    <w:rsid w:val="00AC6A9C"/>
    <w:rsid w:val="00AD5CAF"/>
    <w:rsid w:val="00AD7746"/>
    <w:rsid w:val="00AE1D66"/>
    <w:rsid w:val="00AE3C1A"/>
    <w:rsid w:val="00AE782F"/>
    <w:rsid w:val="00AE7C03"/>
    <w:rsid w:val="00AF5A7F"/>
    <w:rsid w:val="00AF6A89"/>
    <w:rsid w:val="00AF7827"/>
    <w:rsid w:val="00B00407"/>
    <w:rsid w:val="00B00CB0"/>
    <w:rsid w:val="00B021B7"/>
    <w:rsid w:val="00B06373"/>
    <w:rsid w:val="00B125E3"/>
    <w:rsid w:val="00B15E70"/>
    <w:rsid w:val="00B16F81"/>
    <w:rsid w:val="00B22D2C"/>
    <w:rsid w:val="00B23964"/>
    <w:rsid w:val="00B2580A"/>
    <w:rsid w:val="00B27D55"/>
    <w:rsid w:val="00B3152B"/>
    <w:rsid w:val="00B400FE"/>
    <w:rsid w:val="00B4302E"/>
    <w:rsid w:val="00B4335C"/>
    <w:rsid w:val="00B43488"/>
    <w:rsid w:val="00B456E1"/>
    <w:rsid w:val="00B47BF6"/>
    <w:rsid w:val="00B54F1F"/>
    <w:rsid w:val="00B55A09"/>
    <w:rsid w:val="00B56832"/>
    <w:rsid w:val="00B5740A"/>
    <w:rsid w:val="00B60928"/>
    <w:rsid w:val="00B64465"/>
    <w:rsid w:val="00B727B4"/>
    <w:rsid w:val="00B81648"/>
    <w:rsid w:val="00B81A74"/>
    <w:rsid w:val="00B86729"/>
    <w:rsid w:val="00B90A5B"/>
    <w:rsid w:val="00B90D0C"/>
    <w:rsid w:val="00B93189"/>
    <w:rsid w:val="00B942BA"/>
    <w:rsid w:val="00B97940"/>
    <w:rsid w:val="00B97A73"/>
    <w:rsid w:val="00BA01EB"/>
    <w:rsid w:val="00BA6348"/>
    <w:rsid w:val="00BB05E0"/>
    <w:rsid w:val="00BB1979"/>
    <w:rsid w:val="00BB19FE"/>
    <w:rsid w:val="00BC0317"/>
    <w:rsid w:val="00BC15DA"/>
    <w:rsid w:val="00BC207B"/>
    <w:rsid w:val="00BC23E3"/>
    <w:rsid w:val="00BC2E11"/>
    <w:rsid w:val="00BC4FCB"/>
    <w:rsid w:val="00BD1B1B"/>
    <w:rsid w:val="00BD79CE"/>
    <w:rsid w:val="00BE3116"/>
    <w:rsid w:val="00BE4256"/>
    <w:rsid w:val="00BE77CA"/>
    <w:rsid w:val="00BF05E4"/>
    <w:rsid w:val="00BF2D54"/>
    <w:rsid w:val="00BF6035"/>
    <w:rsid w:val="00C007EC"/>
    <w:rsid w:val="00C014F6"/>
    <w:rsid w:val="00C075A9"/>
    <w:rsid w:val="00C0793F"/>
    <w:rsid w:val="00C11CAB"/>
    <w:rsid w:val="00C12FB1"/>
    <w:rsid w:val="00C145AB"/>
    <w:rsid w:val="00C16EDB"/>
    <w:rsid w:val="00C20B05"/>
    <w:rsid w:val="00C233F2"/>
    <w:rsid w:val="00C30D0B"/>
    <w:rsid w:val="00C347D2"/>
    <w:rsid w:val="00C35378"/>
    <w:rsid w:val="00C3618E"/>
    <w:rsid w:val="00C36D58"/>
    <w:rsid w:val="00C37FB6"/>
    <w:rsid w:val="00C40BEA"/>
    <w:rsid w:val="00C40F2B"/>
    <w:rsid w:val="00C415BA"/>
    <w:rsid w:val="00C42E69"/>
    <w:rsid w:val="00C43DAA"/>
    <w:rsid w:val="00C4629B"/>
    <w:rsid w:val="00C52900"/>
    <w:rsid w:val="00C53F32"/>
    <w:rsid w:val="00C55E37"/>
    <w:rsid w:val="00C62C3F"/>
    <w:rsid w:val="00C63B65"/>
    <w:rsid w:val="00C6544B"/>
    <w:rsid w:val="00C656E0"/>
    <w:rsid w:val="00C70E81"/>
    <w:rsid w:val="00C736C0"/>
    <w:rsid w:val="00C748BC"/>
    <w:rsid w:val="00C75864"/>
    <w:rsid w:val="00C76311"/>
    <w:rsid w:val="00C76984"/>
    <w:rsid w:val="00C851B1"/>
    <w:rsid w:val="00C85988"/>
    <w:rsid w:val="00C85A2C"/>
    <w:rsid w:val="00C87FF5"/>
    <w:rsid w:val="00C917A2"/>
    <w:rsid w:val="00C9415B"/>
    <w:rsid w:val="00C943BB"/>
    <w:rsid w:val="00C94AB4"/>
    <w:rsid w:val="00CA4B1B"/>
    <w:rsid w:val="00CA71A1"/>
    <w:rsid w:val="00CA767F"/>
    <w:rsid w:val="00CB392C"/>
    <w:rsid w:val="00CB4021"/>
    <w:rsid w:val="00CC22B6"/>
    <w:rsid w:val="00CC545E"/>
    <w:rsid w:val="00CC7AB9"/>
    <w:rsid w:val="00CD2ED7"/>
    <w:rsid w:val="00CE3C78"/>
    <w:rsid w:val="00CE5E7A"/>
    <w:rsid w:val="00CE6B0A"/>
    <w:rsid w:val="00CE6C22"/>
    <w:rsid w:val="00CE6C99"/>
    <w:rsid w:val="00CE7646"/>
    <w:rsid w:val="00CF32ED"/>
    <w:rsid w:val="00CF390A"/>
    <w:rsid w:val="00CF6C74"/>
    <w:rsid w:val="00CF72B6"/>
    <w:rsid w:val="00D02B96"/>
    <w:rsid w:val="00D06957"/>
    <w:rsid w:val="00D124C8"/>
    <w:rsid w:val="00D14392"/>
    <w:rsid w:val="00D20FAD"/>
    <w:rsid w:val="00D21DCB"/>
    <w:rsid w:val="00D25DC0"/>
    <w:rsid w:val="00D2767F"/>
    <w:rsid w:val="00D32A45"/>
    <w:rsid w:val="00D32A9A"/>
    <w:rsid w:val="00D34231"/>
    <w:rsid w:val="00D35B78"/>
    <w:rsid w:val="00D426F2"/>
    <w:rsid w:val="00D43317"/>
    <w:rsid w:val="00D44D03"/>
    <w:rsid w:val="00D45A63"/>
    <w:rsid w:val="00D46AAA"/>
    <w:rsid w:val="00D5337D"/>
    <w:rsid w:val="00D64BA0"/>
    <w:rsid w:val="00D654FA"/>
    <w:rsid w:val="00D7020D"/>
    <w:rsid w:val="00D721CC"/>
    <w:rsid w:val="00D77526"/>
    <w:rsid w:val="00D8406A"/>
    <w:rsid w:val="00D92A2F"/>
    <w:rsid w:val="00D95C78"/>
    <w:rsid w:val="00DA054A"/>
    <w:rsid w:val="00DA0601"/>
    <w:rsid w:val="00DB2AA6"/>
    <w:rsid w:val="00DB5ABE"/>
    <w:rsid w:val="00DB76DB"/>
    <w:rsid w:val="00DC319C"/>
    <w:rsid w:val="00DC4E28"/>
    <w:rsid w:val="00DC50C9"/>
    <w:rsid w:val="00DC701D"/>
    <w:rsid w:val="00DD19A5"/>
    <w:rsid w:val="00DD2085"/>
    <w:rsid w:val="00DD53BB"/>
    <w:rsid w:val="00DD5657"/>
    <w:rsid w:val="00DD6F99"/>
    <w:rsid w:val="00DE0C4C"/>
    <w:rsid w:val="00DE1A1A"/>
    <w:rsid w:val="00DE3E10"/>
    <w:rsid w:val="00DE4792"/>
    <w:rsid w:val="00DE492C"/>
    <w:rsid w:val="00DE70D7"/>
    <w:rsid w:val="00DE776D"/>
    <w:rsid w:val="00DF106B"/>
    <w:rsid w:val="00DF2100"/>
    <w:rsid w:val="00DF29C4"/>
    <w:rsid w:val="00DF300F"/>
    <w:rsid w:val="00DF31CC"/>
    <w:rsid w:val="00E00B63"/>
    <w:rsid w:val="00E0182D"/>
    <w:rsid w:val="00E0432E"/>
    <w:rsid w:val="00E12333"/>
    <w:rsid w:val="00E12F46"/>
    <w:rsid w:val="00E13E5F"/>
    <w:rsid w:val="00E176A0"/>
    <w:rsid w:val="00E2148E"/>
    <w:rsid w:val="00E24981"/>
    <w:rsid w:val="00E26A7F"/>
    <w:rsid w:val="00E30979"/>
    <w:rsid w:val="00E3368E"/>
    <w:rsid w:val="00E33781"/>
    <w:rsid w:val="00E40D79"/>
    <w:rsid w:val="00E46D70"/>
    <w:rsid w:val="00E508EE"/>
    <w:rsid w:val="00E5200A"/>
    <w:rsid w:val="00E524A9"/>
    <w:rsid w:val="00E5620A"/>
    <w:rsid w:val="00E56374"/>
    <w:rsid w:val="00E56DD9"/>
    <w:rsid w:val="00E60B36"/>
    <w:rsid w:val="00E6184B"/>
    <w:rsid w:val="00E6208E"/>
    <w:rsid w:val="00E67965"/>
    <w:rsid w:val="00E67D6A"/>
    <w:rsid w:val="00E71F52"/>
    <w:rsid w:val="00E82E6F"/>
    <w:rsid w:val="00E84E13"/>
    <w:rsid w:val="00E90F48"/>
    <w:rsid w:val="00E93BA1"/>
    <w:rsid w:val="00EA1174"/>
    <w:rsid w:val="00EA1985"/>
    <w:rsid w:val="00EA4E74"/>
    <w:rsid w:val="00EB2792"/>
    <w:rsid w:val="00EB5719"/>
    <w:rsid w:val="00EC0887"/>
    <w:rsid w:val="00EC15C5"/>
    <w:rsid w:val="00EC3C7E"/>
    <w:rsid w:val="00EC4A47"/>
    <w:rsid w:val="00EC6404"/>
    <w:rsid w:val="00EC6897"/>
    <w:rsid w:val="00ED13DC"/>
    <w:rsid w:val="00ED639F"/>
    <w:rsid w:val="00ED7610"/>
    <w:rsid w:val="00EE0E8D"/>
    <w:rsid w:val="00EE3EDD"/>
    <w:rsid w:val="00EE598F"/>
    <w:rsid w:val="00EF2303"/>
    <w:rsid w:val="00EF2525"/>
    <w:rsid w:val="00EF493A"/>
    <w:rsid w:val="00F00707"/>
    <w:rsid w:val="00F0074D"/>
    <w:rsid w:val="00F03585"/>
    <w:rsid w:val="00F03792"/>
    <w:rsid w:val="00F04DF1"/>
    <w:rsid w:val="00F051C3"/>
    <w:rsid w:val="00F0760E"/>
    <w:rsid w:val="00F07E56"/>
    <w:rsid w:val="00F10C86"/>
    <w:rsid w:val="00F10D4E"/>
    <w:rsid w:val="00F11182"/>
    <w:rsid w:val="00F11B95"/>
    <w:rsid w:val="00F139D9"/>
    <w:rsid w:val="00F144B6"/>
    <w:rsid w:val="00F15316"/>
    <w:rsid w:val="00F15CD8"/>
    <w:rsid w:val="00F20B5E"/>
    <w:rsid w:val="00F22C01"/>
    <w:rsid w:val="00F249E4"/>
    <w:rsid w:val="00F25208"/>
    <w:rsid w:val="00F2655A"/>
    <w:rsid w:val="00F30887"/>
    <w:rsid w:val="00F30EDA"/>
    <w:rsid w:val="00F34AC1"/>
    <w:rsid w:val="00F4720E"/>
    <w:rsid w:val="00F509FC"/>
    <w:rsid w:val="00F521EF"/>
    <w:rsid w:val="00F53A55"/>
    <w:rsid w:val="00F57057"/>
    <w:rsid w:val="00F5719B"/>
    <w:rsid w:val="00F61926"/>
    <w:rsid w:val="00F67A96"/>
    <w:rsid w:val="00F7027B"/>
    <w:rsid w:val="00F72CD3"/>
    <w:rsid w:val="00F73953"/>
    <w:rsid w:val="00F8638F"/>
    <w:rsid w:val="00F878C9"/>
    <w:rsid w:val="00F91C89"/>
    <w:rsid w:val="00F94A45"/>
    <w:rsid w:val="00F9536B"/>
    <w:rsid w:val="00FA2544"/>
    <w:rsid w:val="00FA383C"/>
    <w:rsid w:val="00FA5484"/>
    <w:rsid w:val="00FA6CBE"/>
    <w:rsid w:val="00FB15F6"/>
    <w:rsid w:val="00FB1B29"/>
    <w:rsid w:val="00FB5857"/>
    <w:rsid w:val="00FC2ECA"/>
    <w:rsid w:val="00FC3128"/>
    <w:rsid w:val="00FC4C68"/>
    <w:rsid w:val="00FD2B6B"/>
    <w:rsid w:val="00FD5E83"/>
    <w:rsid w:val="00FD6246"/>
    <w:rsid w:val="00FD65C9"/>
    <w:rsid w:val="00FD6C58"/>
    <w:rsid w:val="00FD7834"/>
    <w:rsid w:val="00FE142A"/>
    <w:rsid w:val="00FE4563"/>
    <w:rsid w:val="00FE4A8B"/>
    <w:rsid w:val="00FE76D8"/>
    <w:rsid w:val="00FF0415"/>
    <w:rsid w:val="00FF4960"/>
    <w:rsid w:val="03C86E22"/>
    <w:rsid w:val="05860808"/>
    <w:rsid w:val="102B045C"/>
    <w:rsid w:val="1D6605A9"/>
    <w:rsid w:val="23F8464E"/>
    <w:rsid w:val="2A137AEB"/>
    <w:rsid w:val="3C6E0996"/>
    <w:rsid w:val="46CA2B75"/>
    <w:rsid w:val="50FB13FB"/>
    <w:rsid w:val="53F21DF0"/>
    <w:rsid w:val="5C2A3DCF"/>
    <w:rsid w:val="5DB05AE3"/>
    <w:rsid w:val="69327E4E"/>
    <w:rsid w:val="7B735A26"/>
    <w:rsid w:val="7E553955"/>
  </w:rsids>
  <m:mathPr>
    <m:mathFont m:val="Cambria Math"/>
    <m:brkBin m:val="before"/>
    <m:brkBinSub m:val="--"/>
    <m:smallFrac m:val="0"/>
    <m:dispDef/>
    <m:lMargin m:val="0"/>
    <m:rMargin m:val="0"/>
    <m:defJc m:val="centerGroup"/>
    <m:wrapIndent m:val="1440"/>
    <m:intLim m:val="subSup"/>
    <m:naryLim m:val="undOvr"/>
  </m:mathPr>
  <w:doNotAutoCompressPictures/>
  <w:themeFontLang w:val="en-GB" w:eastAsia="ja-JP"/>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nhideWhenUsed="0" w:uiPriority="99" w:name="annotation text"/>
    <w:lsdException w:uiPriority="99" w:semiHidden="0" w:name="header"/>
    <w:lsdException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ocked="1"/>
    <w:lsdException w:qFormat="1" w:unhideWhenUsed="0" w:uiPriority="2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6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qFormat="1" w:unhideWhenUsed="0" w:uiPriority="99"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qFormat="1" w:unhideWhenUsed="0" w:uiPriority="99"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Times New Roman"/>
      <w:sz w:val="22"/>
      <w:szCs w:val="22"/>
      <w:lang w:val="en-US" w:eastAsia="en-US" w:bidi="ar-SA"/>
    </w:rPr>
  </w:style>
  <w:style w:type="paragraph" w:styleId="2">
    <w:name w:val="heading 1"/>
    <w:basedOn w:val="1"/>
    <w:next w:val="1"/>
    <w:link w:val="40"/>
    <w:qFormat/>
    <w:locked/>
    <w:uiPriority w:val="0"/>
    <w:pPr>
      <w:keepNext/>
      <w:keepLines/>
      <w:spacing w:before="240" w:after="0"/>
      <w:outlineLvl w:val="0"/>
    </w:pPr>
    <w:rPr>
      <w:rFonts w:asciiTheme="majorHAnsi" w:hAnsiTheme="majorHAnsi" w:eastAsiaTheme="majorEastAsia" w:cstheme="majorBidi"/>
      <w:color w:val="366091" w:themeColor="accent1" w:themeShade="BF"/>
      <w:sz w:val="32"/>
      <w:szCs w:val="32"/>
    </w:rPr>
  </w:style>
  <w:style w:type="paragraph" w:styleId="3">
    <w:name w:val="heading 3"/>
    <w:next w:val="1"/>
    <w:link w:val="47"/>
    <w:unhideWhenUsed/>
    <w:qFormat/>
    <w:locked/>
    <w:uiPriority w:val="0"/>
    <w:pPr>
      <w:spacing w:beforeAutospacing="1" w:afterAutospacing="1"/>
      <w:outlineLvl w:val="2"/>
    </w:pPr>
    <w:rPr>
      <w:rFonts w:hint="eastAsia" w:ascii="SimSun" w:hAnsi="SimSun" w:eastAsia="SimSun" w:cs="Times New Roman"/>
      <w:b/>
      <w:bCs/>
      <w:sz w:val="27"/>
      <w:szCs w:val="27"/>
      <w:lang w:val="en-US" w:eastAsia="zh-CN" w:bidi="ar-SA"/>
    </w:rPr>
  </w:style>
  <w:style w:type="character" w:default="1" w:styleId="4">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6">
    <w:name w:val="Balloon Text"/>
    <w:basedOn w:val="1"/>
    <w:link w:val="20"/>
    <w:semiHidden/>
    <w:uiPriority w:val="99"/>
    <w:pPr>
      <w:spacing w:after="0" w:line="240" w:lineRule="auto"/>
    </w:pPr>
    <w:rPr>
      <w:rFonts w:ascii="Tahoma" w:hAnsi="Tahoma" w:cs="Tahoma"/>
      <w:sz w:val="16"/>
      <w:szCs w:val="16"/>
    </w:rPr>
  </w:style>
  <w:style w:type="character" w:styleId="7">
    <w:name w:val="annotation reference"/>
    <w:semiHidden/>
    <w:qFormat/>
    <w:uiPriority w:val="99"/>
    <w:rPr>
      <w:rFonts w:cs="Times New Roman"/>
      <w:sz w:val="16"/>
      <w:szCs w:val="16"/>
    </w:rPr>
  </w:style>
  <w:style w:type="paragraph" w:styleId="8">
    <w:name w:val="annotation text"/>
    <w:basedOn w:val="1"/>
    <w:link w:val="23"/>
    <w:semiHidden/>
    <w:qFormat/>
    <w:uiPriority w:val="99"/>
    <w:rPr>
      <w:sz w:val="20"/>
      <w:szCs w:val="20"/>
    </w:rPr>
  </w:style>
  <w:style w:type="paragraph" w:styleId="9">
    <w:name w:val="annotation subject"/>
    <w:basedOn w:val="8"/>
    <w:next w:val="8"/>
    <w:link w:val="24"/>
    <w:semiHidden/>
    <w:uiPriority w:val="99"/>
    <w:rPr>
      <w:b/>
      <w:bCs/>
    </w:rPr>
  </w:style>
  <w:style w:type="character" w:styleId="10">
    <w:name w:val="Emphasis"/>
    <w:basedOn w:val="4"/>
    <w:qFormat/>
    <w:locked/>
    <w:uiPriority w:val="20"/>
    <w:rPr>
      <w:i/>
      <w:iCs/>
    </w:rPr>
  </w:style>
  <w:style w:type="character" w:styleId="11">
    <w:name w:val="FollowedHyperlink"/>
    <w:semiHidden/>
    <w:unhideWhenUsed/>
    <w:qFormat/>
    <w:uiPriority w:val="99"/>
    <w:rPr>
      <w:color w:val="800080"/>
      <w:u w:val="single"/>
    </w:rPr>
  </w:style>
  <w:style w:type="paragraph" w:styleId="12">
    <w:name w:val="footer"/>
    <w:basedOn w:val="1"/>
    <w:link w:val="43"/>
    <w:unhideWhenUsed/>
    <w:uiPriority w:val="99"/>
    <w:pPr>
      <w:tabs>
        <w:tab w:val="center" w:pos="4513"/>
        <w:tab w:val="right" w:pos="9026"/>
      </w:tabs>
      <w:spacing w:after="0" w:line="240" w:lineRule="auto"/>
    </w:pPr>
  </w:style>
  <w:style w:type="paragraph" w:styleId="13">
    <w:name w:val="header"/>
    <w:basedOn w:val="1"/>
    <w:link w:val="42"/>
    <w:unhideWhenUsed/>
    <w:uiPriority w:val="99"/>
    <w:pPr>
      <w:tabs>
        <w:tab w:val="center" w:pos="4513"/>
        <w:tab w:val="right" w:pos="9026"/>
      </w:tabs>
      <w:spacing w:after="0" w:line="240" w:lineRule="auto"/>
    </w:pPr>
  </w:style>
  <w:style w:type="character" w:styleId="14">
    <w:name w:val="Hyperlink"/>
    <w:qFormat/>
    <w:uiPriority w:val="99"/>
    <w:rPr>
      <w:rFonts w:cs="Times New Roman"/>
      <w:color w:val="0000FF"/>
      <w:u w:val="single"/>
    </w:rPr>
  </w:style>
  <w:style w:type="paragraph" w:styleId="15">
    <w:name w:val="Normal (Web)"/>
    <w:semiHidden/>
    <w:unhideWhenUsed/>
    <w:uiPriority w:val="99"/>
    <w:pPr>
      <w:spacing w:beforeAutospacing="1" w:afterAutospacing="1"/>
    </w:pPr>
    <w:rPr>
      <w:rFonts w:ascii="Times New Roman" w:hAnsi="Times New Roman" w:eastAsia="SimSun" w:cs="Times New Roman"/>
      <w:sz w:val="24"/>
      <w:szCs w:val="24"/>
      <w:lang w:val="en-US" w:eastAsia="zh-CN" w:bidi="ar-SA"/>
    </w:rPr>
  </w:style>
  <w:style w:type="character" w:styleId="16">
    <w:name w:val="Strong"/>
    <w:basedOn w:val="4"/>
    <w:qFormat/>
    <w:locked/>
    <w:uiPriority w:val="22"/>
    <w:rPr>
      <w:b/>
      <w:bCs/>
    </w:rPr>
  </w:style>
  <w:style w:type="table" w:styleId="17">
    <w:name w:val="Table Grid"/>
    <w:basedOn w:val="5"/>
    <w:qFormat/>
    <w:uiPriority w:val="59"/>
    <w:rPr>
      <w:rFonts w:eastAsia="Times New Roman"/>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8">
    <w:name w:val="Medium Shading 2 Accent 6"/>
    <w:basedOn w:val="5"/>
    <w:qFormat/>
    <w:uiPriority w:val="99"/>
    <w:rPr>
      <w:rFonts w:eastAsia="Times New Roman"/>
      <w:sz w:val="24"/>
      <w:szCs w:val="24"/>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2EAF1"/>
    </w:tcPr>
    <w:tblStylePr w:type="firstRow">
      <w:rPr>
        <w:rFonts w:cs="Times New Roman"/>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4BACC6"/>
      </w:tcPr>
    </w:tblStylePr>
    <w:tblStylePr w:type="lastRow">
      <w:rPr>
        <w:rFonts w:cs="Times New Roman"/>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BACC6"/>
      </w:tcPr>
    </w:tblStylePr>
    <w:tblStylePr w:type="firstCol">
      <w:rPr>
        <w:rFonts w:cs="Times New Roman"/>
        <w:b/>
        <w:bCs/>
        <w:i w:val="0"/>
        <w:iCs w:val="0"/>
        <w:color w:val="FFFFFF"/>
      </w:rPr>
      <w:tblPr/>
      <w:tcPr>
        <w:tcBorders>
          <w:left w:val="single" w:color="FFFFFF" w:sz="8" w:space="0"/>
          <w:right w:val="single" w:color="FFFFFF" w:sz="24" w:space="0"/>
          <w:insideH w:val="nil"/>
          <w:insideV w:val="nil"/>
        </w:tcBorders>
        <w:shd w:val="clear" w:color="auto" w:fill="4BACC6"/>
      </w:tcPr>
    </w:tblStylePr>
    <w:tblStylePr w:type="lastCol">
      <w:rPr>
        <w:rFonts w:cs="Times New Roman"/>
        <w:b/>
        <w:bCs/>
        <w:i w:val="0"/>
        <w:iCs w:val="0"/>
        <w:color w:val="FFFFFF"/>
      </w:rPr>
      <w:tblPr/>
      <w:tcPr>
        <w:tcBorders>
          <w:top w:val="nil"/>
          <w:left w:val="single" w:color="FFFFFF" w:sz="24" w:space="0"/>
          <w:bottom w:val="nil"/>
          <w:right w:val="nil"/>
          <w:insideH w:val="nil"/>
          <w:insideV w:val="nil"/>
        </w:tcBorders>
        <w:shd w:val="clear" w:color="auto" w:fill="4BACC6"/>
      </w:tcPr>
    </w:tblStylePr>
    <w:tblStylePr w:type="band1Vert">
      <w:rPr>
        <w:rFonts w:cs="Times New Roman"/>
      </w:rPr>
      <w:tblPr/>
      <w:tcPr>
        <w:tcBorders>
          <w:top w:val="single" w:color="FFFFFF" w:sz="8" w:space="0"/>
          <w:left w:val="single" w:color="FFFFFF" w:sz="8" w:space="0"/>
          <w:bottom w:val="single" w:color="FFFFFF" w:sz="8" w:space="0"/>
          <w:right w:val="single" w:color="FFFFFF" w:sz="8" w:space="0"/>
          <w:insideH w:val="nil"/>
          <w:insideV w:val="nil"/>
        </w:tcBorders>
        <w:shd w:val="clear" w:color="auto" w:fill="A5D5E2"/>
      </w:tcPr>
    </w:tblStylePr>
    <w:tblStylePr w:type="band1Horz">
      <w:rPr>
        <w:rFonts w:cs="Times New Roman"/>
      </w:rPr>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5D5E2"/>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9">
    <w:name w:val="Colorful Grid Accent 5"/>
    <w:basedOn w:val="5"/>
    <w:qFormat/>
    <w:uiPriority w:val="99"/>
    <w:rPr>
      <w:rFonts w:eastAsia="Times New Roman"/>
      <w:sz w:val="24"/>
      <w:szCs w:val="24"/>
    </w:rPr>
    <w:tblPr>
      <w:tblBorders>
        <w:top w:val="single" w:color="auto" w:sz="18" w:space="0"/>
        <w:bottom w:val="single" w:color="auto" w:sz="18" w:space="0"/>
      </w:tblBorders>
    </w:tblPr>
    <w:tblStylePr w:type="firstRow">
      <w:pPr>
        <w:spacing w:before="0" w:after="0"/>
      </w:pPr>
      <w:rPr>
        <w:rFonts w:cs="Times New Roman"/>
        <w:b/>
        <w:bCs/>
        <w:color w:val="FFFFFF"/>
      </w:rPr>
      <w:tblPr/>
      <w:tcPr>
        <w:tcBorders>
          <w:top w:val="single" w:color="auto" w:sz="18" w:space="0"/>
          <w:left w:val="nil"/>
          <w:bottom w:val="single" w:color="auto" w:sz="18" w:space="0"/>
          <w:right w:val="nil"/>
          <w:insideH w:val="nil"/>
          <w:insideV w:val="nil"/>
        </w:tcBorders>
        <w:shd w:val="clear" w:color="auto" w:fill="4BACC6"/>
      </w:tcPr>
    </w:tblStylePr>
    <w:tblStylePr w:type="lastRow">
      <w:pPr>
        <w:spacing w:before="0" w:after="0"/>
      </w:pPr>
      <w:rPr>
        <w:rFonts w:cs="Times New Roman"/>
        <w:color w:val="auto"/>
      </w:rPr>
      <w:tblPr/>
      <w:tcPr>
        <w:tcBorders>
          <w:top w:val="double" w:color="auto" w:sz="6" w:space="0"/>
          <w:left w:val="nil"/>
          <w:bottom w:val="single" w:color="auto" w:sz="18" w:space="0"/>
          <w:right w:val="nil"/>
          <w:insideH w:val="nil"/>
          <w:insideV w:val="nil"/>
        </w:tcBorders>
        <w:shd w:val="clear" w:color="auto" w:fill="FFFFFF"/>
      </w:tcPr>
    </w:tblStylePr>
    <w:tblStylePr w:type="firstCol">
      <w:rPr>
        <w:rFonts w:cs="Times New Roman"/>
        <w:b/>
        <w:bCs/>
        <w:color w:val="FFFFFF"/>
      </w:rPr>
      <w:tblPr/>
      <w:tcPr>
        <w:tcBorders>
          <w:top w:val="nil"/>
          <w:left w:val="nil"/>
          <w:bottom w:val="single" w:color="auto" w:sz="18" w:space="0"/>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cPr>
        <w:tcBorders>
          <w:top w:val="single" w:color="auto" w:sz="18" w:space="0"/>
          <w:left w:val="nil"/>
          <w:bottom w:val="single" w:color="auto" w:sz="18" w:space="0"/>
          <w:right w:val="nil"/>
          <w:insideH w:val="nil"/>
          <w:insideV w:val="nil"/>
        </w:tcBorders>
      </w:tcPr>
    </w:tblStylePr>
    <w:tblStylePr w:type="nwCell">
      <w:rPr>
        <w:rFonts w:cs="Times New Roman"/>
        <w:color w:val="FFFFFF"/>
      </w:rPr>
      <w:tcPr>
        <w:tcBorders>
          <w:top w:val="single" w:color="auto" w:sz="18" w:space="0"/>
          <w:left w:val="nil"/>
          <w:bottom w:val="single" w:color="auto" w:sz="18" w:space="0"/>
          <w:right w:val="nil"/>
          <w:insideH w:val="nil"/>
          <w:insideV w:val="nil"/>
        </w:tcBorders>
      </w:tcPr>
    </w:tblStylePr>
  </w:style>
  <w:style w:type="character" w:customStyle="1" w:styleId="20">
    <w:name w:val="Balloon Text Char"/>
    <w:link w:val="6"/>
    <w:semiHidden/>
    <w:qFormat/>
    <w:locked/>
    <w:uiPriority w:val="99"/>
    <w:rPr>
      <w:rFonts w:ascii="Tahoma" w:hAnsi="Tahoma" w:cs="Tahoma"/>
      <w:sz w:val="16"/>
      <w:szCs w:val="16"/>
    </w:rPr>
  </w:style>
  <w:style w:type="paragraph" w:customStyle="1" w:styleId="21">
    <w:name w:val="Colorful List - Accent 11"/>
    <w:basedOn w:val="1"/>
    <w:qFormat/>
    <w:uiPriority w:val="0"/>
    <w:pPr>
      <w:ind w:left="720"/>
      <w:contextualSpacing/>
    </w:pPr>
  </w:style>
  <w:style w:type="paragraph" w:customStyle="1" w:styleId="22">
    <w:name w:val="Colorful Shading - Accent 11"/>
    <w:hidden/>
    <w:semiHidden/>
    <w:qFormat/>
    <w:uiPriority w:val="99"/>
    <w:rPr>
      <w:rFonts w:ascii="Calibri" w:hAnsi="Calibri" w:eastAsia="Calibri" w:cs="Times New Roman"/>
      <w:sz w:val="22"/>
      <w:szCs w:val="22"/>
      <w:lang w:val="en-US" w:eastAsia="en-US" w:bidi="ar-SA"/>
    </w:rPr>
  </w:style>
  <w:style w:type="character" w:customStyle="1" w:styleId="23">
    <w:name w:val="Comment Text Char"/>
    <w:link w:val="8"/>
    <w:semiHidden/>
    <w:qFormat/>
    <w:locked/>
    <w:uiPriority w:val="99"/>
    <w:rPr>
      <w:rFonts w:cs="Times New Roman"/>
      <w:sz w:val="20"/>
      <w:szCs w:val="20"/>
      <w:lang w:val="en-US" w:eastAsia="en-US"/>
    </w:rPr>
  </w:style>
  <w:style w:type="character" w:customStyle="1" w:styleId="24">
    <w:name w:val="Comment Subject Char"/>
    <w:link w:val="9"/>
    <w:semiHidden/>
    <w:locked/>
    <w:uiPriority w:val="99"/>
    <w:rPr>
      <w:rFonts w:cs="Times New Roman"/>
      <w:b/>
      <w:bCs/>
      <w:sz w:val="20"/>
      <w:szCs w:val="20"/>
      <w:lang w:val="en-US" w:eastAsia="en-US"/>
    </w:rPr>
  </w:style>
  <w:style w:type="paragraph" w:styleId="25">
    <w:name w:val="No Spacing"/>
    <w:qFormat/>
    <w:uiPriority w:val="1"/>
    <w:rPr>
      <w:rFonts w:ascii="Calibri" w:hAnsi="Calibri" w:eastAsia="Calibri" w:cs="Times New Roman"/>
      <w:sz w:val="22"/>
      <w:szCs w:val="22"/>
      <w:lang w:val="en-US" w:eastAsia="en-US" w:bidi="ar-SA"/>
    </w:rPr>
  </w:style>
  <w:style w:type="paragraph" w:styleId="26">
    <w:name w:val="List Paragraph"/>
    <w:basedOn w:val="1"/>
    <w:qFormat/>
    <w:uiPriority w:val="34"/>
    <w:pPr>
      <w:ind w:left="720"/>
      <w:contextualSpacing/>
    </w:pPr>
  </w:style>
  <w:style w:type="table" w:customStyle="1" w:styleId="27">
    <w:name w:val="Table Grid1"/>
    <w:basedOn w:val="5"/>
    <w:uiPriority w:val="59"/>
    <w:pPr>
      <w:widowControl w:val="0"/>
    </w:pPr>
    <w:rPr>
      <w:rFonts w:asciiTheme="minorHAnsi" w:hAnsiTheme="minorHAnsi" w:eastAsia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8">
    <w:name w:val="ref-journal"/>
    <w:basedOn w:val="4"/>
    <w:qFormat/>
    <w:uiPriority w:val="0"/>
  </w:style>
  <w:style w:type="character" w:customStyle="1" w:styleId="29">
    <w:name w:val="ref-vol"/>
    <w:basedOn w:val="4"/>
    <w:qFormat/>
    <w:uiPriority w:val="0"/>
  </w:style>
  <w:style w:type="character" w:customStyle="1" w:styleId="30">
    <w:name w:val="cit-vol1"/>
    <w:basedOn w:val="4"/>
    <w:uiPriority w:val="0"/>
    <w:rPr>
      <w:b/>
      <w:bCs/>
    </w:rPr>
  </w:style>
  <w:style w:type="character" w:customStyle="1" w:styleId="31">
    <w:name w:val="cit-pub-date"/>
    <w:basedOn w:val="4"/>
    <w:qFormat/>
    <w:uiPriority w:val="0"/>
  </w:style>
  <w:style w:type="character" w:customStyle="1" w:styleId="32">
    <w:name w:val="cit-source"/>
    <w:basedOn w:val="4"/>
    <w:qFormat/>
    <w:uiPriority w:val="0"/>
  </w:style>
  <w:style w:type="character" w:customStyle="1" w:styleId="33">
    <w:name w:val="cit-fpage"/>
    <w:basedOn w:val="4"/>
    <w:qFormat/>
    <w:uiPriority w:val="0"/>
  </w:style>
  <w:style w:type="character" w:customStyle="1" w:styleId="34">
    <w:name w:val="cit-reflinks-full-text"/>
    <w:basedOn w:val="4"/>
    <w:qFormat/>
    <w:uiPriority w:val="0"/>
  </w:style>
  <w:style w:type="character" w:customStyle="1" w:styleId="35">
    <w:name w:val="free-full-text"/>
    <w:basedOn w:val="4"/>
    <w:uiPriority w:val="0"/>
  </w:style>
  <w:style w:type="paragraph" w:customStyle="1" w:styleId="36">
    <w:name w:val="Revision1"/>
    <w:hidden/>
    <w:qFormat/>
    <w:uiPriority w:val="71"/>
    <w:rPr>
      <w:rFonts w:ascii="Calibri" w:hAnsi="Calibri" w:eastAsia="Calibri" w:cs="Times New Roman"/>
      <w:sz w:val="22"/>
      <w:szCs w:val="22"/>
      <w:lang w:val="en-US" w:eastAsia="en-US" w:bidi="ar-SA"/>
    </w:rPr>
  </w:style>
  <w:style w:type="character" w:customStyle="1" w:styleId="37">
    <w:name w:val="cit"/>
    <w:basedOn w:val="4"/>
    <w:qFormat/>
    <w:uiPriority w:val="0"/>
  </w:style>
  <w:style w:type="paragraph" w:styleId="38">
    <w:name w:val="Intense Quote"/>
    <w:basedOn w:val="1"/>
    <w:next w:val="1"/>
    <w:link w:val="39"/>
    <w:qFormat/>
    <w:uiPriority w:val="60"/>
    <w:pPr>
      <w:pBdr>
        <w:top w:val="single" w:color="4F81BD" w:themeColor="accent1" w:sz="4" w:space="10"/>
        <w:bottom w:val="single" w:color="4F81BD" w:themeColor="accent1" w:sz="4" w:space="10"/>
      </w:pBdr>
      <w:spacing w:before="360" w:after="360"/>
      <w:ind w:left="864" w:right="864"/>
      <w:jc w:val="center"/>
    </w:pPr>
    <w:rPr>
      <w:i/>
      <w:iCs/>
      <w:color w:val="4F81BD" w:themeColor="accent1"/>
    </w:rPr>
  </w:style>
  <w:style w:type="character" w:customStyle="1" w:styleId="39">
    <w:name w:val="Intense Quote Char"/>
    <w:basedOn w:val="4"/>
    <w:link w:val="38"/>
    <w:qFormat/>
    <w:uiPriority w:val="60"/>
    <w:rPr>
      <w:i/>
      <w:iCs/>
      <w:color w:val="4F81BD" w:themeColor="accent1"/>
      <w:sz w:val="22"/>
      <w:szCs w:val="22"/>
    </w:rPr>
  </w:style>
  <w:style w:type="character" w:customStyle="1" w:styleId="40">
    <w:name w:val="Heading 1 Char"/>
    <w:basedOn w:val="4"/>
    <w:link w:val="2"/>
    <w:uiPriority w:val="0"/>
    <w:rPr>
      <w:rFonts w:asciiTheme="majorHAnsi" w:hAnsiTheme="majorHAnsi" w:eastAsiaTheme="majorEastAsia" w:cstheme="majorBidi"/>
      <w:color w:val="366091" w:themeColor="accent1" w:themeShade="BF"/>
      <w:sz w:val="32"/>
      <w:szCs w:val="32"/>
      <w:lang w:val="en-US" w:eastAsia="en-US"/>
    </w:rPr>
  </w:style>
  <w:style w:type="character" w:customStyle="1" w:styleId="41">
    <w:name w:val="Unresolved Mention1"/>
    <w:basedOn w:val="4"/>
    <w:semiHidden/>
    <w:unhideWhenUsed/>
    <w:uiPriority w:val="99"/>
    <w:rPr>
      <w:color w:val="605E5C"/>
      <w:shd w:val="clear" w:color="auto" w:fill="E1DFDD"/>
    </w:rPr>
  </w:style>
  <w:style w:type="character" w:customStyle="1" w:styleId="42">
    <w:name w:val="Header Char"/>
    <w:basedOn w:val="4"/>
    <w:link w:val="13"/>
    <w:uiPriority w:val="99"/>
    <w:rPr>
      <w:rFonts w:ascii="Calibri" w:hAnsi="Calibri" w:eastAsia="Calibri"/>
      <w:sz w:val="22"/>
      <w:szCs w:val="22"/>
      <w:lang w:val="en-US" w:eastAsia="en-US"/>
    </w:rPr>
  </w:style>
  <w:style w:type="character" w:customStyle="1" w:styleId="43">
    <w:name w:val="Footer Char"/>
    <w:basedOn w:val="4"/>
    <w:link w:val="12"/>
    <w:uiPriority w:val="99"/>
    <w:rPr>
      <w:rFonts w:ascii="Calibri" w:hAnsi="Calibri" w:eastAsia="Calibri"/>
      <w:sz w:val="22"/>
      <w:szCs w:val="22"/>
      <w:lang w:val="en-US" w:eastAsia="en-US"/>
    </w:rPr>
  </w:style>
  <w:style w:type="paragraph" w:customStyle="1" w:styleId="44">
    <w:name w:val="Revision"/>
    <w:hidden/>
    <w:semiHidden/>
    <w:uiPriority w:val="99"/>
    <w:rPr>
      <w:rFonts w:ascii="Calibri" w:hAnsi="Calibri" w:eastAsia="Calibri" w:cs="Times New Roman"/>
      <w:sz w:val="22"/>
      <w:szCs w:val="22"/>
      <w:lang w:val="en-US" w:eastAsia="en-US" w:bidi="ar-SA"/>
    </w:rPr>
  </w:style>
  <w:style w:type="character" w:customStyle="1" w:styleId="45">
    <w:name w:val="Unresolved Mention"/>
    <w:basedOn w:val="4"/>
    <w:semiHidden/>
    <w:unhideWhenUsed/>
    <w:uiPriority w:val="99"/>
    <w:rPr>
      <w:color w:val="605E5C"/>
      <w:shd w:val="clear" w:color="auto" w:fill="E1DFDD"/>
    </w:rPr>
  </w:style>
  <w:style w:type="paragraph" w:customStyle="1" w:styleId="46">
    <w:name w:val="m_-778356586530599760msolistparagraph"/>
    <w:basedOn w:val="1"/>
    <w:semiHidden/>
    <w:uiPriority w:val="99"/>
    <w:pPr>
      <w:spacing w:before="100" w:beforeAutospacing="1" w:after="100" w:afterAutospacing="1" w:line="240" w:lineRule="auto"/>
    </w:pPr>
    <w:rPr>
      <w:rFonts w:cs="Calibri" w:eastAsiaTheme="minorHAnsi"/>
      <w:lang w:val="en-GB" w:eastAsia="en-GB"/>
    </w:rPr>
  </w:style>
  <w:style w:type="character" w:customStyle="1" w:styleId="47">
    <w:name w:val="Heading 3 Char"/>
    <w:basedOn w:val="4"/>
    <w:link w:val="3"/>
    <w:uiPriority w:val="0"/>
    <w:rPr>
      <w:rFonts w:ascii="SimSun" w:hAnsi="SimSun"/>
      <w:b/>
      <w:bCs/>
      <w:sz w:val="27"/>
      <w:szCs w:val="27"/>
      <w:lang w:val="en-US" w:eastAsia="zh-CN"/>
    </w:rPr>
  </w:style>
  <w:style w:type="character" w:customStyle="1" w:styleId="48">
    <w:name w:val="15"/>
    <w:basedOn w:val="4"/>
    <w:uiPriority w:val="0"/>
    <w:rPr>
      <w:rFonts w:hint="default" w:ascii="Times New Roman" w:hAnsi="Times New Roman" w:cs="Times New Roman"/>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8.emf"/><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24</Pages>
  <Words>5761</Words>
  <Characters>32842</Characters>
  <Lines>273</Lines>
  <Paragraphs>77</Paragraphs>
  <TotalTime>64</TotalTime>
  <ScaleCrop>false</ScaleCrop>
  <LinksUpToDate>false</LinksUpToDate>
  <CharactersWithSpaces>38526</CharactersWithSpaces>
  <Application>WPS Office_4.9.0.7859_F1E327BC-269C-435d-A152-05C5408002CA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2022-10-09T22:40:00Z</dcterms:created>
  <dc:creator>User</dc:creator>
  <cp:lastModifiedBy>وائل محمد</cp:lastModifiedBy>
  <cp:lastPrinted>2015-08-27T13:29:00Z</cp:lastPrinted>
  <dcterms:modified xsi:type="dcterms:W3CDTF">2023-07-24T04:24:35Z</dcterms:modified>
  <dc:title>ANNUAL REVIEW OF CHILDREN WITH TUBEROUS SCLEROSIS</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1033-4.9.0.7859</vt:lpwstr>
  </property>
  <property fmtid="{D5CDD505-2E9C-101B-9397-08002B2CF9AE}" pid="3" name="ICV">
    <vt:lpwstr>0E0985DE38324EB782AD4679E2C54C5F</vt:lpwstr>
  </property>
</Properties>
</file>